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sz w:val="24"/>
        </w:rPr>
      </w:pPr>
      <w:r>
        <w:rPr>
          <w:b/>
          <w:sz w:val="24"/>
        </w:rPr>
        <w:t>Draft</w:t>
      </w:r>
    </w:p>
    <w:p>
      <w:pPr>
        <w:pStyle w:val="Normal"/>
        <w:bidi w:val="0"/>
        <w:jc w:val="center"/>
        <w:rPr>
          <w:b/>
          <w:sz w:val="24"/>
        </w:rPr>
      </w:pPr>
      <w:r>
        <w:rPr>
          <w:b/>
          <w:sz w:val="24"/>
        </w:rPr>
        <w:t>Conference Program:</w:t>
      </w:r>
    </w:p>
    <w:p>
      <w:pPr>
        <w:pStyle w:val="Normal"/>
        <w:bidi w:val="0"/>
        <w:jc w:val="center"/>
        <w:rPr>
          <w:b/>
          <w:sz w:val="24"/>
        </w:rPr>
      </w:pPr>
      <w:r>
        <w:rPr>
          <w:b/>
          <w:sz w:val="24"/>
        </w:rPr>
        <w:t>National Forum on Corporate Finance</w:t>
      </w:r>
    </w:p>
    <w:p>
      <w:pPr>
        <w:pStyle w:val="Normal"/>
        <w:bidi w:val="0"/>
        <w:jc w:val="center"/>
        <w:rPr/>
      </w:pPr>
      <w:r>
        <w:rPr>
          <w:b/>
          <w:sz w:val="24"/>
        </w:rPr>
        <w:t>May 4-5, 2001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</w:rPr>
        <w:t>Friday, May 4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ind w:hanging="1440" w:start="1440"/>
        <w:jc w:val="start"/>
        <w:rPr/>
      </w:pPr>
      <w:r>
        <w:rPr/>
        <w:t xml:space="preserve">11:00-12:00 </w:t>
        <w:tab/>
        <w:t>Registration &amp; Barbeque Lunch at Herring Hall, Rice University</w:t>
        <w:tab/>
        <w:tab/>
        <w:tab/>
        <w:tab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ind w:hanging="1440" w:start="1440"/>
        <w:jc w:val="start"/>
        <w:rPr/>
      </w:pPr>
      <w:r>
        <w:rPr/>
        <w:t xml:space="preserve">12:00 - 12:25        </w:t>
        <w:tab/>
        <w:t xml:space="preserve">Welcoming Remarks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jc w:val="start"/>
        <w:rPr/>
      </w:pPr>
      <w:r>
        <w:rPr/>
        <w:tab/>
        <w:tab/>
        <w:t xml:space="preserve"> Malcolm Gillis, President of Rice University and Gil Whitaker, Dean of the Jones Graduate School of Management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jc w:val="start"/>
        <w:rPr/>
      </w:pPr>
      <w:r>
        <w:rPr/>
        <w:tab/>
        <w:tab/>
        <w:t xml:space="preserve"> Dave Ikenberry, Rice University and    Sheridan Titman, University of Texas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jc w:val="start"/>
        <w:rPr/>
      </w:pPr>
      <w:r>
        <w:rPr/>
        <w:tab/>
        <w:tab/>
        <w:t xml:space="preserve"> Rick Passov, Treasurer, Pfizer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jc w:val="start"/>
        <w:rPr/>
      </w:pPr>
      <w:r>
        <w:rPr/>
        <w:tab/>
        <w:tab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ind w:hanging="1440" w:start="1440"/>
        <w:jc w:val="start"/>
        <w:rPr/>
      </w:pPr>
      <w:r>
        <w:rPr/>
        <w:t xml:space="preserve">12:25 - 1:15 </w:t>
        <w:tab/>
        <w:t>A Survey of Corp. Finance Practices - John Graham, Duke University</w:t>
      </w:r>
    </w:p>
    <w:p>
      <w:pPr>
        <w:pStyle w:val="Normal"/>
        <w:bidi w:val="0"/>
        <w:jc w:val="start"/>
        <w:rPr/>
      </w:pPr>
      <w:r>
        <w:rPr/>
        <w:tab/>
        <w:tab/>
      </w:r>
    </w:p>
    <w:p>
      <w:pPr>
        <w:pStyle w:val="Normal"/>
        <w:bidi w:val="0"/>
        <w:jc w:val="start"/>
        <w:rPr/>
      </w:pPr>
      <w:r>
        <w:rPr/>
        <w:t>1:15 - 1:45</w:t>
        <w:tab/>
        <w:t>Round Table Discussion of John’s paper</w:t>
      </w:r>
    </w:p>
    <w:p>
      <w:pPr>
        <w:pStyle w:val="Normal"/>
        <w:bidi w:val="0"/>
        <w:jc w:val="start"/>
        <w:rPr/>
      </w:pPr>
      <w:r>
        <w:rPr/>
        <w:tab/>
        <w:tab/>
        <w:t>Panel leader: Tim Opler</w:t>
      </w:r>
    </w:p>
    <w:p>
      <w:pPr>
        <w:pStyle w:val="Normal"/>
        <w:bidi w:val="0"/>
        <w:jc w:val="start"/>
        <w:rPr/>
      </w:pPr>
      <w:r>
        <w:rPr/>
        <w:tab/>
        <w:tab/>
        <w:t>Rick Thevent, Assistant Treasurer, Pepsi</w:t>
      </w:r>
    </w:p>
    <w:p>
      <w:pPr>
        <w:pStyle w:val="Normal"/>
        <w:bidi w:val="0"/>
        <w:jc w:val="start"/>
        <w:rPr/>
      </w:pPr>
      <w:r>
        <w:rPr/>
        <w:tab/>
        <w:tab/>
        <w:t>Coy Baugh, Treasurer, Pacificare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ind w:hanging="1440" w:start="1440"/>
        <w:jc w:val="start"/>
        <w:rPr/>
      </w:pPr>
      <w:r>
        <w:rPr/>
        <w:t>1:45 - 2:30</w:t>
        <w:tab/>
        <w:t>A Dialogue on Capital Structure -    Sheridan Titman, University of Texas at Austin</w:t>
      </w:r>
    </w:p>
    <w:p>
      <w:pPr>
        <w:pStyle w:val="Normal"/>
        <w:bidi w:val="0"/>
        <w:jc w:val="start"/>
        <w:rPr/>
      </w:pPr>
      <w:r>
        <w:rPr/>
        <w:tab/>
        <w:tab/>
        <w:t xml:space="preserve">Panel Discussants: </w:t>
      </w:r>
    </w:p>
    <w:p>
      <w:pPr>
        <w:pStyle w:val="Normal"/>
        <w:bidi w:val="0"/>
        <w:jc w:val="start"/>
        <w:rPr/>
      </w:pPr>
      <w:r>
        <w:rPr/>
        <w:tab/>
        <w:tab/>
        <w:t>John Graham, Duke University</w:t>
      </w:r>
    </w:p>
    <w:p>
      <w:pPr>
        <w:pStyle w:val="Normal"/>
        <w:bidi w:val="0"/>
        <w:jc w:val="start"/>
        <w:rPr/>
      </w:pPr>
      <w:r>
        <w:rPr/>
        <w:tab/>
        <w:tab/>
        <w:t>Rick Passov , Treasure, Pfizer</w:t>
      </w:r>
    </w:p>
    <w:p>
      <w:pPr>
        <w:pStyle w:val="Normal"/>
        <w:bidi w:val="0"/>
        <w:jc w:val="start"/>
        <w:rPr/>
      </w:pPr>
      <w:r>
        <w:rPr/>
        <w:tab/>
        <w:tab/>
        <w:t>Bob Goldman, CFO, Conoco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ind w:hanging="1440" w:start="1440"/>
        <w:jc w:val="start"/>
        <w:rPr/>
      </w:pPr>
      <w:r>
        <w:rPr/>
        <w:t>2:15-2:30</w:t>
        <w:tab/>
        <w:t>Break</w:t>
      </w:r>
    </w:p>
    <w:p>
      <w:pPr>
        <w:pStyle w:val="Normal"/>
        <w:bidi w:val="0"/>
        <w:jc w:val="start"/>
        <w:rPr/>
      </w:pPr>
      <w:r>
        <w:rPr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ind w:hanging="1440" w:start="1440"/>
        <w:jc w:val="start"/>
        <w:rPr/>
      </w:pPr>
      <w:r>
        <w:rPr/>
        <w:t>2:30-3:30</w:t>
        <w:tab/>
        <w:t>Cash Levels in the Firm - Tim Opler</w:t>
      </w:r>
    </w:p>
    <w:p>
      <w:pPr>
        <w:pStyle w:val="Normal"/>
        <w:bidi w:val="0"/>
        <w:jc w:val="start"/>
        <w:rPr/>
      </w:pPr>
      <w:r>
        <w:rPr/>
        <w:tab/>
        <w:tab/>
        <w:t xml:space="preserve">Panel discussants:    </w:t>
      </w:r>
    </w:p>
    <w:p>
      <w:pPr>
        <w:pStyle w:val="Normal"/>
        <w:bidi w:val="0"/>
        <w:jc w:val="start"/>
        <w:rPr/>
      </w:pPr>
      <w:r>
        <w:rPr/>
        <w:tab/>
        <w:tab/>
        <w:t>Brad McWilliams - CFO, Cooper Industries</w:t>
      </w:r>
    </w:p>
    <w:p>
      <w:pPr>
        <w:pStyle w:val="Normal"/>
        <w:bidi w:val="0"/>
        <w:jc w:val="start"/>
        <w:rPr/>
      </w:pPr>
      <w:r>
        <w:rPr/>
        <w:tab/>
        <w:tab/>
        <w:t xml:space="preserve">Brent Callinicos , Treasurer, Microsoft </w:t>
      </w:r>
    </w:p>
    <w:p>
      <w:pPr>
        <w:pStyle w:val="Normal"/>
        <w:bidi w:val="0"/>
        <w:jc w:val="start"/>
        <w:rPr/>
      </w:pPr>
      <w:r>
        <w:rPr/>
        <w:tab/>
        <w:tab/>
        <w:t xml:space="preserve">Andres Almazan, University of Texas at Austin   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ind w:hanging="1440" w:start="1440"/>
        <w:jc w:val="start"/>
        <w:rPr/>
      </w:pPr>
      <w:r>
        <w:rPr/>
        <w:t>3:30-3:45</w:t>
        <w:tab/>
        <w:t>Break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3:45 - 4:45</w:t>
        <w:tab/>
        <w:t>Liquidity and its ramifications on the Cost of Capital - Bill Breen, Northwestern University</w:t>
      </w:r>
    </w:p>
    <w:p>
      <w:pPr>
        <w:pStyle w:val="Normal"/>
        <w:bidi w:val="0"/>
        <w:jc w:val="start"/>
        <w:rPr/>
      </w:pPr>
      <w:r>
        <w:rPr/>
        <w:tab/>
        <w:tab/>
        <w:t xml:space="preserve">Panel discussants: </w:t>
      </w:r>
    </w:p>
    <w:p>
      <w:pPr>
        <w:pStyle w:val="Normal"/>
        <w:bidi w:val="0"/>
        <w:jc w:val="start"/>
        <w:rPr/>
      </w:pPr>
      <w:r>
        <w:rPr/>
        <w:tab/>
        <w:tab/>
        <w:t>John Freeman, President, Freeman Asset Management</w:t>
      </w:r>
    </w:p>
    <w:p>
      <w:pPr>
        <w:pStyle w:val="Normal"/>
        <w:bidi w:val="0"/>
        <w:jc w:val="start"/>
        <w:rPr/>
      </w:pPr>
      <w:r>
        <w:rPr/>
        <w:tab/>
        <w:tab/>
        <w:t xml:space="preserve">Laura Starks, University of Texas at Austin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ind w:hanging="1440" w:start="1440"/>
        <w:jc w:val="start"/>
        <w:rPr/>
      </w:pPr>
      <w:r>
        <w:rPr/>
        <w:tab/>
        <w:tab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ind w:hanging="1440" w:start="1440"/>
        <w:jc w:val="start"/>
        <w:rPr/>
      </w:pPr>
      <w:r>
        <w:rPr/>
        <w:t xml:space="preserve">4:4 </w:t>
        <w:tab/>
        <w:tab/>
        <w:t xml:space="preserve">Buses return to the Warwick hotel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ind w:hanging="1440" w:start="1440"/>
        <w:jc w:val="start"/>
        <w:rPr/>
      </w:pPr>
      <w:r>
        <w:rPr/>
        <w:t>6:15</w:t>
        <w:tab/>
        <w:tab/>
        <w:t>Buses depart hotel for dinner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ind w:hanging="1440" w:start="1440"/>
        <w:jc w:val="start"/>
        <w:rPr/>
      </w:pPr>
      <w:r>
        <w:rPr/>
        <w:t>6:30-8:30</w:t>
        <w:tab/>
        <w:t>Dinner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ind w:hanging="1440" w:start="1440"/>
        <w:jc w:val="start"/>
        <w:rPr/>
      </w:pPr>
      <w:r>
        <w:rPr/>
        <w:tab/>
        <w:tab/>
        <w:t xml:space="preserve">Dinner Speaker - Thomas Copeland, Monitor Co.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ind w:hanging="1440"/>
        <w:jc w:val="start"/>
        <w:rPr/>
      </w:pPr>
      <w:r>
        <w:rPr/>
        <w:t xml:space="preserve">8:30 </w:t>
        <w:tab/>
        <w:tab/>
        <w:t xml:space="preserve">Buses return back to the hotel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ind w:hanging="1440" w:start="1440"/>
        <w:jc w:val="start"/>
        <w:rPr/>
      </w:pPr>
      <w:r>
        <w:rPr/>
        <w:t>8:45 - 10:30</w:t>
        <w:tab/>
        <w:t>Night-cap reception in the Presidential Suite, 11</w:t>
      </w:r>
      <w:r>
        <w:rPr>
          <w:vertAlign w:val="superscript"/>
        </w:rPr>
        <w:t>th</w:t>
      </w:r>
      <w:r>
        <w:rPr/>
        <w:t xml:space="preserve"> Floor Warwick Hotel </w:t>
      </w:r>
    </w:p>
    <w:p>
      <w:pPr>
        <w:pStyle w:val="Normal"/>
        <w:bidi w:val="0"/>
        <w:jc w:val="start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bidi w:val="0"/>
        <w:jc w:val="start"/>
        <w:rPr/>
      </w:pPr>
      <w:r>
        <w:rPr>
          <w:b/>
        </w:rPr>
        <w:t xml:space="preserve">Saturday, May 5, 2001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ind w:hanging="1440" w:start="1440"/>
        <w:jc w:val="start"/>
        <w:rPr/>
      </w:pPr>
      <w:r>
        <w:rPr/>
        <w:t>7:45 - 8:30</w:t>
        <w:tab/>
        <w:t xml:space="preserve">Shuttle service to the campus with continental breakfast waiting at Jones School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ind w:hanging="1440" w:start="1440"/>
        <w:jc w:val="start"/>
        <w:rPr/>
      </w:pPr>
      <w:r>
        <w:rPr/>
        <w:t>8:30 - 8:50</w:t>
        <w:tab/>
        <w:t>An overview of analysts, analyst behavior and their impact on share prices    - Sundaresh Ramnath, Rice University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ind w:hanging="1440" w:start="1440"/>
        <w:jc w:val="start"/>
        <w:rPr/>
      </w:pPr>
      <w:r>
        <w:rPr/>
        <w:t>8:50 - 9:45</w:t>
        <w:tab/>
        <w:t>A panel discussion of the impact of SEC Regulation FD - Erik Sirri, Babson College</w:t>
      </w:r>
    </w:p>
    <w:p>
      <w:pPr>
        <w:pStyle w:val="Normal"/>
        <w:bidi w:val="0"/>
        <w:jc w:val="start"/>
        <w:rPr/>
      </w:pPr>
      <w:r>
        <w:rPr/>
        <w:tab/>
        <w:tab/>
        <w:t>Panel - Bob Weidner, NIRI</w:t>
      </w:r>
    </w:p>
    <w:p>
      <w:pPr>
        <w:pStyle w:val="Normal"/>
        <w:bidi w:val="0"/>
        <w:jc w:val="start"/>
        <w:rPr/>
      </w:pPr>
      <w:r>
        <w:rPr/>
        <w:tab/>
        <w:tab/>
        <w:t>Coy Bough - Treasurer, Pacificare</w:t>
      </w:r>
    </w:p>
    <w:p>
      <w:pPr>
        <w:pStyle w:val="Normal"/>
        <w:bidi w:val="0"/>
        <w:jc w:val="start"/>
        <w:rPr/>
      </w:pPr>
      <w:r>
        <w:rPr/>
        <w:tab/>
        <w:tab/>
        <w:t>Gil Whitaker - Dean, Jones Graduate School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ind w:hanging="1440" w:start="1440"/>
        <w:jc w:val="start"/>
        <w:rPr/>
      </w:pPr>
      <w:r>
        <w:rPr/>
        <w:t>9:45- 10:00</w:t>
        <w:tab/>
        <w:t xml:space="preserve">Break </w:t>
      </w:r>
    </w:p>
    <w:p>
      <w:pPr>
        <w:pStyle w:val="Normal"/>
        <w:bidi w:val="0"/>
        <w:jc w:val="start"/>
        <w:rPr/>
      </w:pPr>
      <w:r>
        <w:rPr/>
        <w:tab/>
        <w:tab/>
        <w:tab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ind w:hanging="1440" w:start="1440"/>
        <w:jc w:val="start"/>
        <w:rPr/>
      </w:pPr>
      <w:r>
        <w:rPr/>
        <w:t>10:00 - 11:00</w:t>
        <w:tab/>
        <w:t>Issues in Corporate Governance - Jon Karpoff, Emory and University of Washington</w:t>
      </w:r>
    </w:p>
    <w:p>
      <w:pPr>
        <w:pStyle w:val="Normal"/>
        <w:bidi w:val="0"/>
        <w:jc w:val="start"/>
        <w:rPr/>
      </w:pPr>
      <w:r>
        <w:rPr/>
        <w:tab/>
        <w:tab/>
        <w:t>Panel discussants:</w:t>
      </w:r>
    </w:p>
    <w:p>
      <w:pPr>
        <w:pStyle w:val="Normal"/>
        <w:bidi w:val="0"/>
        <w:jc w:val="start"/>
        <w:rPr/>
      </w:pPr>
      <w:r>
        <w:rPr/>
        <w:tab/>
        <w:tab/>
        <w:t>Stu Gillan, TIAA-CREF</w:t>
      </w:r>
    </w:p>
    <w:p>
      <w:pPr>
        <w:pStyle w:val="Normal"/>
        <w:bidi w:val="0"/>
        <w:jc w:val="start"/>
        <w:rPr/>
      </w:pPr>
      <w:r>
        <w:rPr/>
        <w:tab/>
        <w:tab/>
        <w:t>Scott Wise - Treasurer, Rice University</w:t>
      </w:r>
    </w:p>
    <w:p>
      <w:pPr>
        <w:pStyle w:val="Normal"/>
        <w:bidi w:val="0"/>
        <w:jc w:val="start"/>
        <w:rPr/>
      </w:pPr>
      <w:r>
        <w:rPr/>
        <w:tab/>
        <w:tab/>
        <w:t xml:space="preserve">Matt Mackena    - Treasurer, Pepsi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11:00 - 11:15</w:t>
        <w:tab/>
        <w:t xml:space="preserve">Break </w:t>
      </w:r>
    </w:p>
    <w:p>
      <w:pPr>
        <w:pStyle w:val="Normal"/>
        <w:bidi w:val="0"/>
        <w:jc w:val="start"/>
        <w:rPr/>
      </w:pPr>
      <w:r>
        <w:rPr/>
        <w:tab/>
        <w:tab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ind w:hanging="1440" w:start="1440"/>
        <w:jc w:val="start"/>
        <w:rPr/>
      </w:pPr>
      <w:r>
        <w:rPr/>
        <w:t>11:15-12:15</w:t>
        <w:tab/>
        <w:t>Measuring and Managing Equity Dilution from Stock Compensation    - David Yermack, New York University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ind w:hanging="1440" w:start="1440"/>
        <w:jc w:val="start"/>
        <w:rPr/>
      </w:pPr>
      <w:r>
        <w:rPr/>
        <w:tab/>
        <w:tab/>
        <w:t xml:space="preserve">Panel discussants: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ind w:hanging="1440" w:start="1440"/>
        <w:jc w:val="start"/>
        <w:rPr/>
      </w:pPr>
      <w:r>
        <w:rPr/>
        <w:tab/>
        <w:tab/>
        <w:t>Bob Parrino - University of Texas at Austin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ind w:hanging="1440" w:start="1440"/>
        <w:jc w:val="start"/>
        <w:rPr/>
      </w:pPr>
      <w:r>
        <w:rPr/>
        <w:tab/>
        <w:tab/>
        <w:t xml:space="preserve">Andrew Fastow - CFO, Enron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ind w:hanging="1440" w:start="1440"/>
        <w:jc w:val="start"/>
        <w:rPr/>
      </w:pPr>
      <w:r>
        <w:rPr/>
        <w:tab/>
        <w:tab/>
        <w:t>John Blahnik - Treasurer, Delphi Automotive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ind w:hanging="1440" w:start="1440"/>
        <w:jc w:val="start"/>
        <w:rPr/>
      </w:pPr>
      <w:r>
        <w:rPr/>
        <w:tab/>
        <w:tab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bidi w:val="0"/>
        <w:ind w:hanging="1440"/>
        <w:jc w:val="start"/>
        <w:rPr/>
      </w:pPr>
      <w:r>
        <w:rPr/>
        <w:tab/>
        <w:tab/>
      </w:r>
    </w:p>
    <w:p>
      <w:pPr>
        <w:pStyle w:val="Normal"/>
        <w:tabs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bidi w:val="0"/>
        <w:ind w:hanging="1440"/>
        <w:jc w:val="start"/>
        <w:rPr/>
      </w:pPr>
      <w:r>
        <w:rPr/>
        <w:t>12:15</w:t>
        <w:tab/>
        <w:tab/>
        <w:t>Buses to reception at Ikenberry house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ab/>
        <w:t>Transportation available as needed to airports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540" w:right="630" w:gutter="0" w:header="0" w:top="45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character" w:styleId="Definition">
    <w:name w:val="Definition"/>
    <w:qFormat/>
    <w:rPr>
      <w:i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">
    <w:name w:val="FollowedHype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Variable">
    <w:name w:val="Variable"/>
    <w:qFormat/>
    <w:rPr>
      <w:i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/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_level1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</w:tabs>
      <w:bidi w:val="0"/>
      <w:ind w:hanging="720" w:start="72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el2">
    <w:name w:val="_level2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bidi w:val="0"/>
      <w:ind w:hanging="720" w:start="144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el3">
    <w:name w:val="_level3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216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el4">
    <w:name w:val="_level4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bidi w:val="0"/>
      <w:ind w:hanging="720" w:start="288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el5">
    <w:name w:val="_level5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</w:tabs>
      <w:bidi w:val="0"/>
      <w:ind w:hanging="720" w:start="360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el6">
    <w:name w:val="_level6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</w:tabs>
      <w:bidi w:val="0"/>
      <w:ind w:hanging="720" w:start="432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el7">
    <w:name w:val="_level7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</w:tabs>
      <w:bidi w:val="0"/>
      <w:ind w:hanging="720" w:start="504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el8">
    <w:name w:val="_level8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</w:tabs>
      <w:bidi w:val="0"/>
      <w:ind w:hanging="720" w:start="576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el9">
    <w:name w:val="_level9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</w:tabs>
      <w:bidi w:val="0"/>
      <w:ind w:hanging="720" w:start="648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sl1">
    <w:name w:val="_levsl1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</w:tabs>
      <w:bidi w:val="0"/>
      <w:ind w:hanging="720" w:start="72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sl2">
    <w:name w:val="_levsl2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bidi w:val="0"/>
      <w:ind w:hanging="720" w:start="144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sl3">
    <w:name w:val="_levsl3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216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sl4">
    <w:name w:val="_levsl4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bidi w:val="0"/>
      <w:ind w:hanging="720" w:start="288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sl5">
    <w:name w:val="_levsl5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</w:tabs>
      <w:bidi w:val="0"/>
      <w:ind w:hanging="720" w:start="360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sl6">
    <w:name w:val="_levsl6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</w:tabs>
      <w:bidi w:val="0"/>
      <w:ind w:hanging="720" w:start="432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sl7">
    <w:name w:val="_levsl7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</w:tabs>
      <w:bidi w:val="0"/>
      <w:ind w:hanging="720" w:start="504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sl8">
    <w:name w:val="_levsl8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</w:tabs>
      <w:bidi w:val="0"/>
      <w:ind w:hanging="720" w:start="576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sl9">
    <w:name w:val="_levsl9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</w:tabs>
      <w:bidi w:val="0"/>
      <w:ind w:hanging="720" w:start="648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nl1">
    <w:name w:val="_levnl1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</w:tabs>
      <w:bidi w:val="0"/>
      <w:ind w:hanging="720" w:start="72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nl2">
    <w:name w:val="_levnl2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bidi w:val="0"/>
      <w:ind w:hanging="720" w:start="144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nl3">
    <w:name w:val="_levnl3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bidi w:val="0"/>
      <w:ind w:hanging="720" w:start="216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nl4">
    <w:name w:val="_levnl4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bidi w:val="0"/>
      <w:ind w:hanging="720" w:start="288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nl5">
    <w:name w:val="_levnl5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</w:tabs>
      <w:bidi w:val="0"/>
      <w:ind w:hanging="720" w:start="360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nl6">
    <w:name w:val="_levnl6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</w:tabs>
      <w:bidi w:val="0"/>
      <w:ind w:hanging="720" w:start="432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nl7">
    <w:name w:val="_levnl7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</w:tabs>
      <w:bidi w:val="0"/>
      <w:ind w:hanging="720" w:start="504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nl8">
    <w:name w:val="_levnl8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</w:tabs>
      <w:bidi w:val="0"/>
      <w:ind w:hanging="720" w:start="576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levnl9">
    <w:name w:val="_levnl9"/>
    <w:qFormat/>
    <w:pPr>
      <w:widowControl w:val="false"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</w:tabs>
      <w:bidi w:val="0"/>
      <w:ind w:hanging="720" w:start="648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DefinitionT">
    <w:name w:val="Definition T"/>
    <w:qFormat/>
    <w:pPr>
      <w:widowControl w:val="false"/>
      <w:bidi w:val="0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DefinitionL">
    <w:name w:val="Definition L"/>
    <w:qFormat/>
    <w:pPr>
      <w:widowControl w:val="false"/>
      <w:tabs>
        <w:tab w:val="clear" w:pos="720"/>
        <w:tab w:val="left" w:pos="0" w:leader="none"/>
        <w:tab w:val="left" w:pos="360" w:leader="none"/>
        <w:tab w:val="left" w:pos="1080" w:leader="none"/>
        <w:tab w:val="left" w:pos="1800" w:leader="none"/>
        <w:tab w:val="left" w:pos="2520" w:leader="none"/>
        <w:tab w:val="left" w:pos="3240" w:leader="none"/>
        <w:tab w:val="left" w:pos="3960" w:leader="none"/>
        <w:tab w:val="left" w:pos="4680" w:leader="none"/>
        <w:tab w:val="left" w:pos="5400" w:leader="none"/>
        <w:tab w:val="left" w:pos="6120" w:leader="none"/>
        <w:tab w:val="left" w:pos="6840" w:leader="none"/>
        <w:tab w:val="left" w:pos="7560" w:leader="none"/>
        <w:tab w:val="left" w:pos="8280" w:leader="none"/>
        <w:tab w:val="left" w:pos="9000" w:leader="none"/>
        <w:tab w:val="left" w:pos="9720" w:leader="none"/>
        <w:tab w:val="left" w:pos="10440" w:leader="none"/>
      </w:tabs>
      <w:bidi w:val="0"/>
      <w:ind w:start="36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H1">
    <w:name w:val="H1"/>
    <w:qFormat/>
    <w:pPr>
      <w:widowControl w:val="false"/>
      <w:bidi w:val="0"/>
    </w:pPr>
    <w:rPr>
      <w:rFonts w:ascii="Times New Roman" w:hAnsi="Times New Roman" w:eastAsia="Arial" w:cs="NotoSans NF"/>
      <w:b/>
      <w:color w:val="auto"/>
      <w:kern w:val="2"/>
      <w:sz w:val="48"/>
      <w:szCs w:val="24"/>
      <w:lang w:val="en-CA" w:eastAsia="zh-CN" w:bidi="hi-IN"/>
    </w:rPr>
  </w:style>
  <w:style w:type="paragraph" w:styleId="H2">
    <w:name w:val="H2"/>
    <w:qFormat/>
    <w:pPr>
      <w:widowControl w:val="false"/>
      <w:bidi w:val="0"/>
    </w:pPr>
    <w:rPr>
      <w:rFonts w:ascii="Times New Roman" w:hAnsi="Times New Roman" w:eastAsia="Arial" w:cs="NotoSans NF"/>
      <w:b/>
      <w:color w:val="auto"/>
      <w:kern w:val="2"/>
      <w:sz w:val="36"/>
      <w:szCs w:val="24"/>
      <w:lang w:val="en-CA" w:eastAsia="zh-CN" w:bidi="hi-IN"/>
    </w:rPr>
  </w:style>
  <w:style w:type="paragraph" w:styleId="H3">
    <w:name w:val="H3"/>
    <w:qFormat/>
    <w:pPr>
      <w:widowControl w:val="false"/>
      <w:bidi w:val="0"/>
    </w:pPr>
    <w:rPr>
      <w:rFonts w:ascii="Times New Roman" w:hAnsi="Times New Roman" w:eastAsia="Arial" w:cs="NotoSans NF"/>
      <w:b/>
      <w:color w:val="auto"/>
      <w:kern w:val="2"/>
      <w:sz w:val="28"/>
      <w:szCs w:val="24"/>
      <w:lang w:val="en-CA" w:eastAsia="zh-CN" w:bidi="hi-IN"/>
    </w:rPr>
  </w:style>
  <w:style w:type="paragraph" w:styleId="H4">
    <w:name w:val="H4"/>
    <w:qFormat/>
    <w:pPr>
      <w:widowControl w:val="false"/>
      <w:bidi w:val="0"/>
    </w:pPr>
    <w:rPr>
      <w:rFonts w:ascii="Times New Roman" w:hAnsi="Times New Roman" w:eastAsia="Arial" w:cs="NotoSans NF"/>
      <w:b/>
      <w:color w:val="auto"/>
      <w:kern w:val="2"/>
      <w:sz w:val="24"/>
      <w:szCs w:val="24"/>
      <w:lang w:val="en-CA" w:eastAsia="zh-CN" w:bidi="hi-IN"/>
    </w:rPr>
  </w:style>
  <w:style w:type="paragraph" w:styleId="H5">
    <w:name w:val="H5"/>
    <w:qFormat/>
    <w:pPr>
      <w:widowControl w:val="false"/>
      <w:bidi w:val="0"/>
    </w:pPr>
    <w:rPr>
      <w:rFonts w:ascii="Times New Roman" w:hAnsi="Times New Roman" w:eastAsia="Arial" w:cs="NotoSans NF"/>
      <w:b/>
      <w:color w:val="auto"/>
      <w:kern w:val="2"/>
      <w:sz w:val="20"/>
      <w:szCs w:val="24"/>
      <w:lang w:val="en-CA" w:eastAsia="zh-CN" w:bidi="hi-IN"/>
    </w:rPr>
  </w:style>
  <w:style w:type="paragraph" w:styleId="H6">
    <w:name w:val="H6"/>
    <w:qFormat/>
    <w:pPr>
      <w:widowControl w:val="false"/>
      <w:bidi w:val="0"/>
    </w:pPr>
    <w:rPr>
      <w:rFonts w:ascii="Times New Roman" w:hAnsi="Times New Roman" w:eastAsia="Arial" w:cs="NotoSans NF"/>
      <w:b/>
      <w:color w:val="auto"/>
      <w:kern w:val="2"/>
      <w:sz w:val="16"/>
      <w:szCs w:val="24"/>
      <w:lang w:val="en-CA" w:eastAsia="zh-CN" w:bidi="hi-IN"/>
    </w:rPr>
  </w:style>
  <w:style w:type="paragraph" w:styleId="Address">
    <w:name w:val="Address"/>
    <w:qFormat/>
    <w:pPr>
      <w:widowControl w:val="false"/>
      <w:bidi w:val="0"/>
    </w:pPr>
    <w:rPr>
      <w:rFonts w:ascii="Times New Roman" w:hAnsi="Times New Roman" w:eastAsia="Arial" w:cs="NotoSans NF"/>
      <w:i/>
      <w:color w:val="auto"/>
      <w:kern w:val="2"/>
      <w:sz w:val="24"/>
      <w:szCs w:val="24"/>
      <w:lang w:val="en-CA" w:eastAsia="zh-CN" w:bidi="hi-IN"/>
    </w:rPr>
  </w:style>
  <w:style w:type="paragraph" w:styleId="Blockquote">
    <w:name w:val="Blockquote"/>
    <w:qFormat/>
    <w:pPr>
      <w:widowControl w:val="false"/>
      <w:tabs>
        <w:tab w:val="clear" w:pos="720"/>
        <w:tab w:val="left" w:pos="0" w:leader="none"/>
        <w:tab w:val="left" w:pos="360" w:leader="none"/>
        <w:tab w:val="left" w:pos="1080" w:leader="none"/>
        <w:tab w:val="left" w:pos="1800" w:leader="none"/>
        <w:tab w:val="left" w:pos="2520" w:leader="none"/>
        <w:tab w:val="left" w:pos="3240" w:leader="none"/>
        <w:tab w:val="left" w:pos="3960" w:leader="none"/>
        <w:tab w:val="left" w:pos="4680" w:leader="none"/>
        <w:tab w:val="left" w:pos="5400" w:leader="none"/>
        <w:tab w:val="left" w:pos="6120" w:leader="none"/>
        <w:tab w:val="left" w:pos="6840" w:leader="none"/>
        <w:tab w:val="left" w:pos="7560" w:leader="none"/>
        <w:tab w:val="left" w:pos="8280" w:leader="none"/>
        <w:tab w:val="left" w:pos="9000" w:leader="none"/>
        <w:tab w:val="left" w:pos="9720" w:leader="none"/>
        <w:tab w:val="left" w:pos="10440" w:leader="none"/>
      </w:tabs>
      <w:bidi w:val="0"/>
      <w:ind w:start="360" w:end="360"/>
      <w:jc w:val="both"/>
    </w:pPr>
    <w:rPr>
      <w:rFonts w:ascii="Times New Roman" w:hAnsi="Times New Roman" w:eastAsia="Arial" w:cs="NotoSans NF"/>
      <w:color w:val="auto"/>
      <w:kern w:val="2"/>
      <w:sz w:val="24"/>
      <w:szCs w:val="24"/>
      <w:lang w:val="en-CA" w:eastAsia="zh-CN" w:bidi="hi-IN"/>
    </w:rPr>
  </w:style>
  <w:style w:type="paragraph" w:styleId="Preformatted">
    <w:name w:val="Preformatted"/>
    <w:qFormat/>
    <w:pPr>
      <w:widowControl w:val="false"/>
      <w:tabs>
        <w:tab w:val="clear" w:pos="720"/>
        <w:tab w:val="left" w:pos="0" w:leader="none"/>
        <w:tab w:val="left" w:pos="957" w:leader="none"/>
        <w:tab w:val="left" w:pos="1916" w:leader="none"/>
        <w:tab w:val="left" w:pos="2875" w:leader="none"/>
        <w:tab w:val="left" w:pos="3834" w:leader="none"/>
        <w:tab w:val="left" w:pos="4794" w:leader="none"/>
        <w:tab w:val="left" w:pos="5754" w:leader="none"/>
        <w:tab w:val="left" w:pos="6711" w:leader="none"/>
        <w:tab w:val="left" w:pos="7670" w:leader="none"/>
        <w:tab w:val="left" w:pos="8629" w:leader="none"/>
        <w:tab w:val="left" w:pos="9355" w:leader="none"/>
        <w:tab w:val="left" w:pos="9360" w:leader="none"/>
        <w:tab w:val="left" w:pos="10080" w:leader="none"/>
        <w:tab w:val="left" w:pos="10800" w:leader="none"/>
      </w:tabs>
      <w:bidi w:val="0"/>
      <w:jc w:val="both"/>
    </w:pPr>
    <w:rPr>
      <w:rFonts w:ascii="Courier New" w:hAnsi="Courier New" w:eastAsia="Arial" w:cs="NotoSans NF"/>
      <w:color w:val="auto"/>
      <w:kern w:val="2"/>
      <w:sz w:val="20"/>
      <w:szCs w:val="24"/>
      <w:lang w:val="en-CA" w:eastAsia="zh-CN" w:bidi="hi-IN"/>
    </w:rPr>
  </w:style>
  <w:style w:type="paragraph" w:styleId="zBottomof">
    <w:name w:val="zBottom of"/>
    <w:qFormat/>
    <w:pPr>
      <w:widowControl w:val="false"/>
      <w:pBdr>
        <w:top w:val="double" w:sz="2" w:space="0" w:color="000000"/>
      </w:pBdr>
      <w:bidi w:val="0"/>
      <w:jc w:val="center"/>
    </w:pPr>
    <w:rPr>
      <w:rFonts w:ascii="Arial" w:hAnsi="Arial" w:eastAsia="Arial" w:cs="NotoSans NF"/>
      <w:color w:val="auto"/>
      <w:kern w:val="2"/>
      <w:sz w:val="16"/>
      <w:szCs w:val="24"/>
      <w:lang w:val="en-CA" w:eastAsia="zh-CN" w:bidi="hi-IN"/>
    </w:rPr>
  </w:style>
  <w:style w:type="paragraph" w:styleId="zTopofFor">
    <w:name w:val="zTop of For"/>
    <w:qFormat/>
    <w:pPr>
      <w:widowControl w:val="false"/>
      <w:pBdr>
        <w:bottom w:val="double" w:sz="2" w:space="0" w:color="000000"/>
      </w:pBdr>
      <w:bidi w:val="0"/>
      <w:jc w:val="center"/>
    </w:pPr>
    <w:rPr>
      <w:rFonts w:ascii="Arial" w:hAnsi="Arial" w:eastAsia="Arial" w:cs="NotoSans NF"/>
      <w:color w:val="auto"/>
      <w:kern w:val="2"/>
      <w:sz w:val="16"/>
      <w:szCs w:val="24"/>
      <w:lang w:val="en-CA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