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MATERIAL ADVERSE CHANGE ("MAC") CLAUSES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sz w:val="22"/>
          <w:u w:val="single"/>
        </w:rPr>
      </w:pPr>
      <w:r>
        <w:rPr>
          <w:b/>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sz w:val="22"/>
          <w:u w:val="single"/>
        </w:rPr>
      </w:pPr>
      <w:r>
        <w:rPr>
          <w:sz w:val="22"/>
          <w:u w:val="single"/>
        </w:rPr>
      </w:r>
    </w:p>
    <w:p>
      <w:pPr>
        <w:pStyle w:val="Normal"/>
        <w:jc w:val="both"/>
        <w:rPr>
          <w:b/>
          <w:sz w:val="22"/>
          <w:u w:val="single"/>
        </w:rPr>
      </w:pPr>
      <w:r>
        <w:rPr>
          <w:b/>
          <w:sz w:val="22"/>
        </w:rPr>
        <w:t>[</w:t>
      </w:r>
      <w:r>
        <w:rPr>
          <w:b/>
          <w:sz w:val="22"/>
          <w:u w:val="single"/>
        </w:rPr>
        <w:t>INSERT IF MAC IS TO BE APPLICABLE TO ECT (“Party A”) AND COUNTERPARTY (“Party B”) (CREDIT RATINGS)</w:t>
      </w:r>
      <w:r>
        <w:rPr>
          <w:b/>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sz w:val="22"/>
          <w:u w:val="single"/>
        </w:rPr>
      </w:pPr>
      <w:r>
        <w:rPr>
          <w:b/>
          <w:sz w:val="22"/>
          <w:u w:val="single"/>
        </w:rPr>
      </w:r>
    </w:p>
    <w:p>
      <w:pPr>
        <w:pStyle w:val="Normal"/>
        <w:ind w:start="720" w:end="0"/>
        <w:jc w:val="both"/>
        <w:rPr/>
      </w:pPr>
      <w:r>
        <w:rPr>
          <w:b/>
          <w:sz w:val="22"/>
        </w:rPr>
        <w:t>“</w:t>
      </w:r>
      <w:r>
        <w:rPr>
          <w:b/>
          <w:sz w:val="22"/>
        </w:rPr>
        <w:t>Material Adverse Change”</w:t>
      </w:r>
      <w:r>
        <w:rPr>
          <w:sz w:val="22"/>
        </w:rPr>
        <w:t xml:space="preserve"> means (a) with respect to Party A, [Enron Corp.’s] [its Credit Support Provider’s] Credit Rating is below “BBB-” by S&amp;P [or below “Baa3” by Moody’s] or [Enron Corp.][its Credit Support Provider] fails to have a Credit Rating from S&amp;P [or Moody’s]; or (b) with respect to Party B, [its] [its Credit Support Provider’s] Credit Rating is below “__” by S&amp;P [or below “__” by Moody’s] or [it][its Credit Support Provider] fails to have a Credit Rating from S&amp;P [or Moody’s].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jc w:val="both"/>
        <w:rPr>
          <w:b/>
          <w:sz w:val="22"/>
          <w:u w:val="single"/>
        </w:rPr>
      </w:pPr>
      <w:r>
        <w:rPr>
          <w:b/>
          <w:sz w:val="22"/>
        </w:rPr>
        <w:t>[</w:t>
      </w:r>
      <w:r>
        <w:rPr>
          <w:b/>
          <w:sz w:val="22"/>
          <w:u w:val="single"/>
        </w:rPr>
        <w:t>INSERT IF MAC IS TO BE APPLICABLE TO ECT (“Party A”) (CREDIT RATING) AND COUNTERPARTY (“Party B”) (NON-SPECIFIC MAC)</w:t>
      </w:r>
      <w:r>
        <w:rPr>
          <w:b/>
          <w:sz w:val="22"/>
        </w:rPr>
        <w:t>]:</w:t>
      </w:r>
    </w:p>
    <w:p>
      <w:pPr>
        <w:pStyle w:val="Justified"/>
        <w:widowControl/>
        <w:spacing w:before="0" w:after="0"/>
        <w:rPr>
          <w:rFonts w:ascii="Times New Roman" w:hAnsi="Times New Roman" w:cs="Times New Roman"/>
          <w:b/>
          <w:sz w:val="22"/>
          <w:u w:val="single"/>
        </w:rPr>
      </w:pPr>
      <w:r>
        <w:rPr>
          <w:rFonts w:cs="Times New Roman" w:ascii="Times New Roman" w:hAnsi="Times New Roman"/>
          <w:b/>
          <w:sz w:val="22"/>
          <w:u w:val="single"/>
        </w:rPr>
      </w:r>
    </w:p>
    <w:p>
      <w:pPr>
        <w:pStyle w:val="Normal"/>
        <w:spacing w:lineRule="atLeast" w:line="240"/>
        <w:ind w:start="720" w:end="0"/>
        <w:jc w:val="both"/>
        <w:rPr/>
      </w:pPr>
      <w:r>
        <w:rPr>
          <w:b/>
          <w:sz w:val="22"/>
        </w:rPr>
        <w:t>“</w:t>
      </w:r>
      <w:r>
        <w:rPr>
          <w:b/>
          <w:sz w:val="22"/>
        </w:rPr>
        <w:t>Material Adverse Change”</w:t>
      </w:r>
      <w:r>
        <w:rPr>
          <w:sz w:val="22"/>
        </w:rPr>
        <w:t xml:space="preserve"> means (a) with respect to Party A, [Enron Corp.’s] [its Credit Support Provider’s] Credit Rating is below “BBB-” by S&amp;P [or below “Baa3” by Moody’s] or [Enron Corp.][its Credit Support Provider] fails to have a Credit Rating from S&amp;P [or Moody’s]; or (b) with respect to Party B, in the reasonable opinion of Party A, a material adverse change has occurred in the business, financial condition or operations of Party B [or its Credit Support Provider].</w:t>
      </w:r>
    </w:p>
    <w:p>
      <w:pPr>
        <w:pStyle w:val="Normal"/>
        <w:jc w:val="both"/>
        <w:rPr>
          <w:sz w:val="22"/>
        </w:rPr>
      </w:pPr>
      <w:r>
        <w:rPr>
          <w:sz w:val="22"/>
        </w:rPr>
      </w:r>
    </w:p>
    <w:p>
      <w:pPr>
        <w:pStyle w:val="Normal"/>
        <w:jc w:val="both"/>
        <w:rPr>
          <w:b/>
          <w:sz w:val="22"/>
          <w:u w:val="single"/>
        </w:rPr>
      </w:pPr>
      <w:r>
        <w:rPr>
          <w:b/>
          <w:sz w:val="22"/>
        </w:rPr>
        <w:t>[</w:t>
      </w:r>
      <w:r>
        <w:rPr>
          <w:b/>
          <w:sz w:val="22"/>
          <w:u w:val="single"/>
        </w:rPr>
        <w:t>INSERT IF MAC IS TO BE APPLICABLE TO ONLY COUNTERPARTY (“Party B”) (NON-SPECIFIC MAC)</w:t>
      </w:r>
      <w:r>
        <w:rPr>
          <w:b/>
          <w:sz w:val="22"/>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u w:val="single"/>
        </w:rPr>
      </w:pPr>
      <w:r>
        <w:rPr>
          <w:b/>
          <w:sz w:val="22"/>
          <w:u w:val="single"/>
        </w:rPr>
      </w:r>
    </w:p>
    <w:p>
      <w:pPr>
        <w:pStyle w:val="Normal"/>
        <w:spacing w:lineRule="atLeast" w:line="240"/>
        <w:ind w:start="720" w:end="0"/>
        <w:jc w:val="both"/>
        <w:rPr/>
      </w:pPr>
      <w:r>
        <w:rPr>
          <w:b/>
          <w:sz w:val="22"/>
        </w:rPr>
        <w:t>“</w:t>
      </w:r>
      <w:r>
        <w:rPr>
          <w:b/>
          <w:sz w:val="22"/>
        </w:rPr>
        <w:t>Material Adverse Change”</w:t>
      </w:r>
      <w:r>
        <w:rPr>
          <w:sz w:val="22"/>
        </w:rPr>
        <w:t xml:space="preserve"> means with respect to Party B, in the reasonable opinion of Party A, a material adverse change has occurred in the business, financial condition or operations of Party B [or its Credit Support Provider].</w:t>
      </w:r>
    </w:p>
    <w:p>
      <w:pPr>
        <w:pStyle w:val="Normal"/>
        <w:spacing w:lineRule="atLeast" w:line="240"/>
        <w:jc w:val="both"/>
        <w:rPr>
          <w:sz w:val="22"/>
        </w:rPr>
      </w:pPr>
      <w:r>
        <w:rPr>
          <w:sz w:val="22"/>
        </w:rPr>
      </w:r>
    </w:p>
    <w:p>
      <w:pPr>
        <w:pStyle w:val="Normal"/>
        <w:spacing w:lineRule="atLeast" w:line="240"/>
        <w:jc w:val="both"/>
        <w:rPr/>
      </w:pPr>
      <w:r>
        <w:rPr>
          <w:b/>
          <w:sz w:val="22"/>
        </w:rPr>
        <w:t>[</w:t>
      </w:r>
      <w:r>
        <w:rPr>
          <w:b/>
          <w:sz w:val="22"/>
          <w:u w:val="single"/>
        </w:rPr>
        <w:t>INSERT IF MAC IS TO BE APPLICABLE TO ONLY COUNTERPARTY (“Party B”) (CREDIT RATING)</w:t>
      </w:r>
      <w:r>
        <w:rPr>
          <w:b/>
          <w:sz w:val="22"/>
        </w:rPr>
        <w:t>]:</w:t>
      </w:r>
    </w:p>
    <w:p>
      <w:pPr>
        <w:pStyle w:val="Normal"/>
        <w:spacing w:lineRule="atLeast" w:line="240"/>
        <w:jc w:val="both"/>
        <w:rPr>
          <w:b/>
          <w:sz w:val="22"/>
        </w:rPr>
      </w:pPr>
      <w:r>
        <w:rPr>
          <w:b/>
          <w:sz w:val="22"/>
        </w:rPr>
      </w:r>
    </w:p>
    <w:p>
      <w:pPr>
        <w:pStyle w:val="Normal"/>
        <w:spacing w:lineRule="atLeast" w:line="240"/>
        <w:ind w:start="720" w:end="0"/>
        <w:jc w:val="both"/>
        <w:rPr/>
      </w:pPr>
      <w:r>
        <w:rPr>
          <w:b/>
          <w:sz w:val="22"/>
        </w:rPr>
        <w:t>“</w:t>
      </w:r>
      <w:r>
        <w:rPr>
          <w:b/>
          <w:sz w:val="22"/>
        </w:rPr>
        <w:t>Material Adverse Change”</w:t>
      </w:r>
      <w:r>
        <w:rPr>
          <w:sz w:val="22"/>
        </w:rPr>
        <w:t xml:space="preserve"> means, with respect to Party B, [its] [its Credit Support Provider’s] Credit Rating is below “__” by S&amp;P [or below “__” by Moody’s] or [it][its Credit Support Provider] fails to have a Credit Rating from S&amp;P [or Moody’s].</w:t>
      </w:r>
    </w:p>
    <w:p>
      <w:pPr>
        <w:pStyle w:val="Normal"/>
        <w:spacing w:lineRule="atLeast" w:line="240"/>
        <w:jc w:val="both"/>
        <w:rPr>
          <w:sz w:val="22"/>
        </w:rPr>
      </w:pPr>
      <w:r>
        <w:rPr>
          <w:sz w:val="22"/>
        </w:rPr>
      </w:r>
    </w:p>
    <w:p>
      <w:pPr>
        <w:pStyle w:val="Normal"/>
        <w:spacing w:lineRule="atLeast" w:line="240"/>
        <w:jc w:val="both"/>
        <w:rPr>
          <w:sz w:val="22"/>
        </w:rPr>
      </w:pPr>
      <w:r>
        <w:rPr>
          <w:b/>
          <w:sz w:val="22"/>
          <w:u w:val="single"/>
        </w:rPr>
        <w:t>[INSERT IF MAC CONTAINS FINANCIAL COVENANTS FOR COUNTERPARTY (“Party B”) AND CREDIT RATING FOR ECT’S GUARANTOR (“Party A”)]</w:t>
      </w:r>
      <w:r>
        <w:rPr>
          <w:b/>
          <w:sz w:val="22"/>
        </w:rPr>
        <w:t>:</w:t>
      </w:r>
    </w:p>
    <w:p>
      <w:pPr>
        <w:pStyle w:val="Normal"/>
        <w:spacing w:lineRule="atLeast" w:line="240"/>
        <w:jc w:val="both"/>
        <w:rPr>
          <w:sz w:val="22"/>
        </w:rPr>
      </w:pPr>
      <w:r>
        <w:rPr>
          <w:sz w:val="22"/>
        </w:rPr>
      </w:r>
    </w:p>
    <w:p>
      <w:pPr>
        <w:pStyle w:val="Normal"/>
        <w:spacing w:lineRule="atLeast" w:line="240"/>
        <w:ind w:start="720" w:end="0"/>
        <w:jc w:val="both"/>
        <w:rPr/>
      </w:pPr>
      <w:r>
        <w:rPr>
          <w:b/>
          <w:sz w:val="22"/>
        </w:rPr>
        <w:t>“</w:t>
      </w:r>
      <w:r>
        <w:rPr>
          <w:b/>
          <w:sz w:val="22"/>
        </w:rPr>
        <w:t>Material Adverse Change”</w:t>
      </w:r>
      <w:r>
        <w:rPr>
          <w:sz w:val="22"/>
        </w:rPr>
        <w:t xml:space="preserve"> means, (a) with respect to Party A, [Enron Corp.’s][its Credit Support Provider’s] Credit Rating is below “BBB-” by S&amp;P [or below “Baa3” by Moody’s] or [Enron Corp.][its Credit Support Provider] fails to have a Credit Rating from S&amp;P [or Moody’s]; or (b) with respect to Party B, [it] [its Credit Support Provider] shall have any of the following occur at any time:  [(i) the ratio of its [Funded Debt][Total Debt] to Net Worth is more than _____ to _____, or (ii) its Net Worth falls below [U.S.] $</w:t>
      </w:r>
      <w:r>
        <w:rPr>
          <w:sz w:val="22"/>
          <w:u w:val="single"/>
        </w:rPr>
        <w:tab/>
        <w:tab/>
      </w:r>
      <w:r>
        <w:rPr>
          <w:sz w:val="22"/>
        </w:rPr>
        <w:t>, or (iii) the ratio of its Cash Flow to Current Maturities of Long Term Debt is less than _ to _, or (iv) the ratio of its Current Assets to Current Liabilities is less than _ to _, or (v) the ratio of its PV15 of PDP to Funded Debt is less than __ to __, or (vi) its EBITDA Coverage Ratio shall be less than __ to __, or [INSERT OTHER APPROPRIATE FINANCIAL COVENANTS].</w:t>
      </w:r>
    </w:p>
    <w:p>
      <w:pPr>
        <w:pStyle w:val="Normal"/>
        <w:spacing w:lineRule="atLeast" w:line="240"/>
        <w:jc w:val="both"/>
        <w:rPr>
          <w:sz w:val="22"/>
        </w:rPr>
      </w:pPr>
      <w:r>
        <w:rPr>
          <w:sz w:val="22"/>
        </w:rPr>
      </w:r>
    </w:p>
    <w:p>
      <w:pPr>
        <w:pStyle w:val="Normal"/>
        <w:spacing w:lineRule="atLeast" w:line="240"/>
        <w:jc w:val="center"/>
        <w:rPr>
          <w:sz w:val="22"/>
        </w:rPr>
      </w:pPr>
      <w:r>
        <w:rPr>
          <w:b/>
          <w:sz w:val="22"/>
        </w:rPr>
        <w:t>[</w:t>
      </w:r>
      <w:r>
        <w:rPr>
          <w:b/>
          <w:sz w:val="22"/>
          <w:u w:val="single"/>
        </w:rPr>
        <w:t>DEFINITIONS TO BE INSERTED AS APPROPRIATE</w:t>
      </w:r>
      <w:r>
        <w:rPr>
          <w:b/>
          <w:sz w:val="22"/>
        </w:rPr>
        <w:t>]</w:t>
      </w:r>
    </w:p>
    <w:p>
      <w:pPr>
        <w:pStyle w:val="Normal"/>
        <w:spacing w:lineRule="atLeast" w:line="240"/>
        <w:jc w:val="both"/>
        <w:rPr>
          <w:sz w:val="22"/>
        </w:rPr>
      </w:pPr>
      <w:r>
        <w:rPr>
          <w:sz w:val="22"/>
        </w:rPr>
      </w:r>
    </w:p>
    <w:p>
      <w:pPr>
        <w:pStyle w:val="Normal"/>
        <w:spacing w:lineRule="atLeast" w:line="240"/>
        <w:ind w:start="720" w:end="0"/>
        <w:jc w:val="both"/>
        <w:rPr/>
      </w:pPr>
      <w:r>
        <w:rPr>
          <w:b/>
          <w:sz w:val="22"/>
        </w:rPr>
        <w:t>“</w:t>
      </w:r>
      <w:r>
        <w:rPr>
          <w:b/>
          <w:sz w:val="22"/>
        </w:rPr>
        <w:t>Cash Flow”</w:t>
      </w:r>
      <w:r>
        <w:rPr>
          <w:sz w:val="22"/>
        </w:rPr>
        <w:t xml:space="preserve"> means Net Income plus depreciation and non-cash charges from the consolidated income statement of [Party B] [ Party B’s Credit Support Provider] prepared in accordance with GAAP.</w:t>
      </w:r>
    </w:p>
    <w:p>
      <w:pPr>
        <w:pStyle w:val="Normal"/>
        <w:spacing w:lineRule="atLeast" w:line="240"/>
        <w:ind w:start="720" w:end="0"/>
        <w:jc w:val="both"/>
        <w:rPr>
          <w:sz w:val="22"/>
        </w:rPr>
      </w:pPr>
      <w:r>
        <w:rPr>
          <w:sz w:val="22"/>
        </w:rPr>
      </w:r>
    </w:p>
    <w:p>
      <w:pPr>
        <w:pStyle w:val="Normal"/>
        <w:spacing w:lineRule="atLeast" w:line="240"/>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r>
        <w:rPr>
          <w:color w:val="FF0000"/>
          <w:sz w:val="22"/>
        </w:rPr>
        <w:t>[</w:t>
      </w:r>
      <w:r>
        <w:rPr>
          <w:sz w:val="22"/>
        </w:rPr>
        <w:t>If such ratings are not available, then “Credit Rating” shall mean the S&amp;P corporate bond rating.</w:t>
      </w:r>
    </w:p>
    <w:p>
      <w:pPr>
        <w:pStyle w:val="Normal"/>
        <w:spacing w:lineRule="atLeast" w:line="240"/>
        <w:ind w:start="720" w:end="0"/>
        <w:jc w:val="both"/>
        <w:rPr>
          <w:sz w:val="22"/>
        </w:rPr>
      </w:pPr>
      <w:r>
        <w:rPr>
          <w:sz w:val="22"/>
        </w:rPr>
      </w:r>
    </w:p>
    <w:p>
      <w:pPr>
        <w:pStyle w:val="Normal"/>
        <w:ind w:start="720" w:end="0"/>
        <w:jc w:val="both"/>
        <w:rPr/>
      </w:pPr>
      <w:r>
        <w:rPr>
          <w:b/>
          <w:sz w:val="22"/>
        </w:rPr>
        <w:t>“</w:t>
      </w:r>
      <w:r>
        <w:rPr>
          <w:b/>
          <w:sz w:val="22"/>
        </w:rPr>
        <w:t>Current Assets”</w:t>
      </w:r>
      <w:r>
        <w:rPr>
          <w:sz w:val="22"/>
        </w:rPr>
        <w:t xml:space="preserve"> means consolidated current assets of [Party B] [Party B’s Credit Support Provider] as would be reflected on a consolidated balance sheet of [Party B] [Party B’s Credit Support Provider] prepared in accordance with GAAP.</w:t>
      </w:r>
    </w:p>
    <w:p>
      <w:pPr>
        <w:pStyle w:val="Normal"/>
        <w:ind w:start="720" w:end="0"/>
        <w:jc w:val="both"/>
        <w:rPr>
          <w:sz w:val="22"/>
        </w:rPr>
      </w:pPr>
      <w:r>
        <w:rPr>
          <w:sz w:val="22"/>
        </w:rPr>
      </w:r>
    </w:p>
    <w:p>
      <w:pPr>
        <w:pStyle w:val="Normal"/>
        <w:ind w:start="720" w:end="0"/>
        <w:jc w:val="both"/>
        <w:rPr/>
      </w:pPr>
      <w:r>
        <w:rPr>
          <w:b/>
          <w:sz w:val="22"/>
        </w:rPr>
        <w:t>“</w:t>
      </w:r>
      <w:r>
        <w:rPr>
          <w:b/>
          <w:sz w:val="22"/>
        </w:rPr>
        <w:t>Current Liabilities”</w:t>
      </w:r>
      <w:r>
        <w:rPr>
          <w:sz w:val="22"/>
        </w:rPr>
        <w:t xml:space="preserve"> means consolidated current liabilities of [Party B] [Party B’s Credit Support Provider] as would be reflected on a consolidated balance sheet of [Party B] [Party B’s Credit Support Provider] prepared in accordance with GAAP.</w:t>
      </w:r>
    </w:p>
    <w:p>
      <w:pPr>
        <w:pStyle w:val="Normal"/>
        <w:ind w:start="720" w:end="0"/>
        <w:jc w:val="both"/>
        <w:rPr>
          <w:sz w:val="22"/>
        </w:rPr>
      </w:pPr>
      <w:r>
        <w:rPr>
          <w:sz w:val="22"/>
        </w:rPr>
      </w:r>
    </w:p>
    <w:p>
      <w:pPr>
        <w:pStyle w:val="Normal"/>
        <w:spacing w:lineRule="atLeast" w:line="240"/>
        <w:ind w:start="720" w:end="0"/>
        <w:jc w:val="both"/>
        <w:rPr/>
      </w:pPr>
      <w:r>
        <w:rPr>
          <w:b/>
          <w:sz w:val="22"/>
        </w:rPr>
        <w:t>“</w:t>
      </w:r>
      <w:r>
        <w:rPr>
          <w:b/>
          <w:sz w:val="22"/>
        </w:rPr>
        <w:t>Current Maturities of Long Term Debt”</w:t>
      </w:r>
      <w:r>
        <w:rPr>
          <w:i/>
          <w:sz w:val="22"/>
        </w:rPr>
        <w:t xml:space="preserve"> </w:t>
      </w:r>
      <w:r>
        <w:rPr>
          <w:sz w:val="22"/>
        </w:rPr>
        <w:t>means payments required by third party lenders on consolidated long term debt of [Party B] [Party B’s Credit Support Provider] within the next twelve (12) calendar months determined in accordance with GAAP.</w:t>
      </w:r>
    </w:p>
    <w:p>
      <w:pPr>
        <w:pStyle w:val="Justified"/>
        <w:widowControl/>
        <w:spacing w:lineRule="atLeast" w:line="240" w:before="0" w:after="0"/>
        <w:ind w:start="720" w:end="0"/>
        <w:rPr>
          <w:rFonts w:ascii="Times New Roman" w:hAnsi="Times New Roman" w:cs="Times New Roman"/>
          <w:sz w:val="22"/>
        </w:rPr>
      </w:pPr>
      <w:r>
        <w:rPr>
          <w:rFonts w:cs="Times New Roman" w:ascii="Times New Roman" w:hAnsi="Times New Roman"/>
          <w:sz w:val="22"/>
        </w:rPr>
      </w:r>
    </w:p>
    <w:p>
      <w:pPr>
        <w:pStyle w:val="Normal"/>
        <w:spacing w:lineRule="atLeast" w:line="240"/>
        <w:ind w:start="720" w:end="0"/>
        <w:jc w:val="both"/>
        <w:rPr/>
      </w:pPr>
      <w:r>
        <w:rPr>
          <w:b/>
          <w:sz w:val="22"/>
        </w:rPr>
        <w:t>“</w:t>
      </w:r>
      <w:r>
        <w:rPr>
          <w:b/>
          <w:sz w:val="22"/>
        </w:rPr>
        <w:t>DBRS”</w:t>
      </w:r>
      <w:r>
        <w:rPr>
          <w:sz w:val="22"/>
        </w:rPr>
        <w:t xml:space="preserve"> means Dominion Bond Rating Service Limited, or its successor.</w:t>
      </w:r>
    </w:p>
    <w:p>
      <w:pPr>
        <w:pStyle w:val="Normal"/>
        <w:spacing w:lineRule="atLeast" w:line="240"/>
        <w:jc w:val="both"/>
        <w:rPr>
          <w:sz w:val="22"/>
        </w:rPr>
      </w:pPr>
      <w:r>
        <w:rPr>
          <w:sz w:val="22"/>
        </w:rPr>
      </w:r>
    </w:p>
    <w:p>
      <w:pPr>
        <w:pStyle w:val="Normal"/>
        <w:spacing w:lineRule="atLeast" w:line="240"/>
        <w:jc w:val="both"/>
        <w:rPr>
          <w:b/>
          <w:sz w:val="22"/>
        </w:rPr>
      </w:pPr>
      <w:r>
        <w:rPr>
          <w:b/>
          <w:sz w:val="22"/>
        </w:rPr>
        <w:t>[EBIDTA LANGUAGE - INSERT ALL THE DEFINITIONS BELOW:</w:t>
      </w:r>
    </w:p>
    <w:p>
      <w:pPr>
        <w:pStyle w:val="Normal"/>
        <w:spacing w:lineRule="exact" w:line="240" w:before="240" w:after="0"/>
        <w:ind w:start="720" w:end="0"/>
        <w:jc w:val="both"/>
        <w:rPr>
          <w:i/>
          <w:i/>
          <w:sz w:val="22"/>
        </w:rPr>
      </w:pPr>
      <w:r>
        <w:rPr>
          <w:b/>
          <w:sz w:val="22"/>
        </w:rPr>
        <w:t>“</w:t>
      </w:r>
      <w:r>
        <w:rPr>
          <w:b/>
          <w:sz w:val="22"/>
        </w:rPr>
        <w:t>Depreciation, Depletion and Amortization Expense”</w:t>
      </w:r>
      <w:r>
        <w:rPr>
          <w:sz w:val="22"/>
        </w:rPr>
        <w:t xml:space="preserve"> means, with respect to [Party B][Party B’s Credit Support Provider]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i/>
          <w:i/>
          <w:sz w:val="22"/>
        </w:rPr>
      </w:pPr>
      <w:r>
        <w:rPr>
          <w:b/>
          <w:i/>
          <w:sz w:val="22"/>
        </w:rPr>
      </w:r>
    </w:p>
    <w:p>
      <w:pPr>
        <w:pStyle w:val="BodyText"/>
        <w:ind w:start="720" w:end="0"/>
        <w:jc w:val="both"/>
        <w:rPr/>
      </w:pPr>
      <w:r>
        <w:rPr>
          <w:b/>
        </w:rPr>
        <w:t>“</w:t>
      </w:r>
      <w:r>
        <w:rPr>
          <w:b/>
        </w:rPr>
        <w:t>EBITDA”</w:t>
      </w:r>
      <w:r>
        <w:rPr/>
        <w:t xml:space="preserve"> means, with respect to [Party B][Party B’s Credit Support Provider]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exact" w:line="240" w:before="240" w:after="0"/>
        <w:ind w:start="720" w:end="0"/>
        <w:jc w:val="both"/>
        <w:rPr/>
      </w:pPr>
      <w:r>
        <w:rPr>
          <w:b/>
          <w:sz w:val="22"/>
        </w:rPr>
        <w:t>“</w:t>
      </w:r>
      <w:r>
        <w:rPr>
          <w:b/>
          <w:sz w:val="22"/>
        </w:rPr>
        <w:t>EBITDA Coverage Ratio”</w:t>
      </w:r>
      <w:r>
        <w:rPr>
          <w:sz w:val="22"/>
        </w:rPr>
        <w:t xml:space="preserve"> means, with respect to any period, the ratio of (i) EBITDA for such period to (ii) the aggregate amount of Interest Expense for such period.</w:t>
      </w:r>
    </w:p>
    <w:p>
      <w:pPr>
        <w:pStyle w:val="Normal"/>
        <w:spacing w:lineRule="exact" w:line="240" w:before="240" w:after="0"/>
        <w:ind w:start="720" w:end="0"/>
        <w:jc w:val="both"/>
        <w:rPr/>
      </w:pPr>
      <w:r>
        <w:rPr>
          <w:b/>
          <w:sz w:val="22"/>
        </w:rPr>
        <w:t>“</w:t>
      </w:r>
      <w:r>
        <w:rPr>
          <w:b/>
          <w:sz w:val="22"/>
        </w:rPr>
        <w:t>Interest Expense”</w:t>
      </w:r>
      <w:r>
        <w:rPr>
          <w:sz w:val="22"/>
        </w:rPr>
        <w:t xml:space="preserve"> means, for any period, without duplication, the total consolidated interest expense of [Party B][Party B’s Credit Support Provider]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p>
    <w:p>
      <w:pPr>
        <w:pStyle w:val="Normal"/>
        <w:jc w:val="both"/>
        <w:rPr>
          <w:sz w:val="22"/>
        </w:rPr>
      </w:pPr>
      <w:r>
        <w:rPr>
          <w:sz w:val="22"/>
        </w:rPr>
      </w:r>
    </w:p>
    <w:p>
      <w:pPr>
        <w:pStyle w:val="Normal"/>
        <w:jc w:val="both"/>
        <w:rPr>
          <w:b/>
          <w:sz w:val="22"/>
        </w:rPr>
      </w:pPr>
      <w:r>
        <w:rPr>
          <w:b/>
          <w:sz w:val="22"/>
        </w:rPr>
        <w:t>For EBIDTA, in addition to the definitions above, add our standard definition for “Net Income”]</w:t>
      </w:r>
    </w:p>
    <w:p>
      <w:pPr>
        <w:pStyle w:val="Normal"/>
        <w:spacing w:lineRule="atLeast" w:line="240"/>
        <w:jc w:val="both"/>
        <w:rPr>
          <w:b/>
          <w:sz w:val="22"/>
        </w:rPr>
      </w:pPr>
      <w:r>
        <w:rPr>
          <w:b/>
          <w:sz w:val="22"/>
        </w:rPr>
      </w:r>
    </w:p>
    <w:p>
      <w:pPr>
        <w:pStyle w:val="Normal"/>
        <w:spacing w:lineRule="atLeast" w:line="240"/>
        <w:ind w:start="720" w:end="144"/>
        <w:jc w:val="both"/>
        <w:rPr/>
      </w:pPr>
      <w:r>
        <w:rPr>
          <w:b/>
          <w:sz w:val="22"/>
        </w:rPr>
        <w:t>“</w:t>
      </w:r>
      <w:r>
        <w:rPr>
          <w:b/>
          <w:sz w:val="22"/>
        </w:rPr>
        <w:t>Funded Debt”</w:t>
      </w:r>
      <w:r>
        <w:rPr>
          <w:sz w:val="22"/>
        </w:rPr>
        <w:t xml:space="preserve"> means consolidated indebtedness of [Party B] [Party B’s Credit Support Provider] which by its terms matures more than one year from the date as of which any calculation of Funded Debt is made.</w:t>
      </w:r>
    </w:p>
    <w:p>
      <w:pPr>
        <w:pStyle w:val="Normal"/>
        <w:spacing w:lineRule="atLeast" w:line="240"/>
        <w:ind w:start="720" w:end="0"/>
        <w:jc w:val="both"/>
        <w:rPr>
          <w:sz w:val="22"/>
        </w:rPr>
      </w:pPr>
      <w:r>
        <w:rPr>
          <w:sz w:val="22"/>
        </w:rPr>
      </w:r>
    </w:p>
    <w:p>
      <w:pPr>
        <w:pStyle w:val="Normal"/>
        <w:spacing w:lineRule="atLeast" w:line="240"/>
        <w:ind w:start="720" w:end="0"/>
        <w:jc w:val="both"/>
        <w:rPr/>
      </w:pPr>
      <w:r>
        <w:rPr>
          <w:b/>
          <w:sz w:val="22"/>
        </w:rPr>
        <w:t>“</w:t>
      </w:r>
      <w:r>
        <w:rPr>
          <w:b/>
          <w:sz w:val="22"/>
        </w:rPr>
        <w:t>GAAP”</w:t>
      </w:r>
      <w:r>
        <w:rPr>
          <w:sz w:val="22"/>
        </w:rPr>
        <w:t xml:space="preserve"> means generally accepted accounting principles that are generally accepted in the country in which the applicable party is organized and on a basis consistent with prior periods.</w:t>
      </w:r>
    </w:p>
    <w:p>
      <w:pPr>
        <w:pStyle w:val="Normal"/>
        <w:ind w:start="720" w:end="0"/>
        <w:jc w:val="both"/>
        <w:rPr>
          <w:sz w:val="22"/>
        </w:rPr>
      </w:pPr>
      <w:r>
        <w:rPr>
          <w:sz w:val="22"/>
        </w:rPr>
      </w:r>
    </w:p>
    <w:p>
      <w:pPr>
        <w:pStyle w:val="Normal"/>
        <w:ind w:start="720" w:end="0"/>
        <w:jc w:val="both"/>
        <w:rPr/>
      </w:pPr>
      <w:r>
        <w:rPr>
          <w:b/>
          <w:sz w:val="22"/>
        </w:rPr>
        <w:t>“</w:t>
      </w:r>
      <w:r>
        <w:rPr>
          <w:b/>
          <w:sz w:val="22"/>
        </w:rPr>
        <w:t>Goodwill”</w:t>
      </w:r>
      <w:r>
        <w:rPr>
          <w:sz w:val="22"/>
        </w:rPr>
        <w:t xml:space="preserve"> means the residual of purchase price over the fair market value of all specific assets net of specific liabilities.  [</w:t>
      </w:r>
      <w:r>
        <w:rPr>
          <w:i/>
          <w:sz w:val="22"/>
        </w:rPr>
        <w:t>Note:  when you use “Goodwill”, in the definition of “Net Worth” you need to change “(exclusive of intangible assets")” to “(exclusive of Goodwill</w:t>
      </w:r>
      <w:r>
        <w:rPr>
          <w:sz w:val="22"/>
        </w:rPr>
        <w:t>)”]</w:t>
      </w:r>
    </w:p>
    <w:p>
      <w:pPr>
        <w:pStyle w:val="Normal"/>
        <w:spacing w:lineRule="atLeast" w:line="240"/>
        <w:ind w:start="720" w:end="0"/>
        <w:jc w:val="both"/>
        <w:rPr>
          <w:sz w:val="22"/>
        </w:rPr>
      </w:pPr>
      <w:r>
        <w:rPr>
          <w:sz w:val="22"/>
        </w:rPr>
      </w:r>
    </w:p>
    <w:p>
      <w:pPr>
        <w:pStyle w:val="Normal"/>
        <w:spacing w:lineRule="atLeast" w:line="240"/>
        <w:ind w:start="720" w:end="0"/>
        <w:jc w:val="both"/>
        <w:rPr/>
      </w:pPr>
      <w:r>
        <w:rPr>
          <w:b/>
          <w:sz w:val="22"/>
        </w:rPr>
        <w:t>“</w:t>
      </w:r>
      <w:r>
        <w:rPr>
          <w:b/>
          <w:sz w:val="22"/>
        </w:rPr>
        <w:t>Moody’s”</w:t>
      </w:r>
      <w:r>
        <w:rPr>
          <w:sz w:val="22"/>
        </w:rPr>
        <w:t xml:space="preserve"> means Moody’s Investors Service, Inc. or its successor.</w:t>
      </w:r>
    </w:p>
    <w:p>
      <w:pPr>
        <w:pStyle w:val="Justified"/>
        <w:widowControl/>
        <w:spacing w:lineRule="atLeast" w:line="240" w:before="0" w:after="0"/>
        <w:ind w:start="720" w:end="0"/>
        <w:rPr>
          <w:rFonts w:ascii="Times New Roman" w:hAnsi="Times New Roman" w:cs="Times New Roman"/>
          <w:sz w:val="22"/>
        </w:rPr>
      </w:pPr>
      <w:r>
        <w:rPr>
          <w:rFonts w:cs="Times New Roman" w:ascii="Times New Roman" w:hAnsi="Times New Roman"/>
          <w:sz w:val="22"/>
        </w:rPr>
      </w:r>
    </w:p>
    <w:p>
      <w:pPr>
        <w:pStyle w:val="Normal"/>
        <w:spacing w:lineRule="atLeast" w:line="240"/>
        <w:ind w:start="720" w:end="0"/>
        <w:jc w:val="both"/>
        <w:rPr/>
      </w:pPr>
      <w:r>
        <w:rPr>
          <w:b/>
          <w:sz w:val="22"/>
        </w:rPr>
        <w:t>“</w:t>
      </w:r>
      <w:r>
        <w:rPr>
          <w:b/>
          <w:sz w:val="22"/>
        </w:rPr>
        <w:t>Net Income”</w:t>
      </w:r>
      <w:r>
        <w:rPr>
          <w:sz w:val="22"/>
        </w:rPr>
        <w:t xml:space="preserve"> means consolidated gross revenues of [Party B] [Party B’s Credit Support Provider] and other proper income credits, less all proper income charges, including taxes on income, all determined in accordance with GAAP.</w:t>
      </w:r>
    </w:p>
    <w:p>
      <w:pPr>
        <w:pStyle w:val="Justified"/>
        <w:widowControl/>
        <w:spacing w:lineRule="atLeast" w:line="240" w:before="0" w:after="0"/>
        <w:ind w:start="720" w:end="0"/>
        <w:rPr>
          <w:rFonts w:ascii="Times New Roman" w:hAnsi="Times New Roman" w:cs="Times New Roman"/>
          <w:sz w:val="22"/>
        </w:rPr>
      </w:pPr>
      <w:r>
        <w:rPr>
          <w:rFonts w:cs="Times New Roman" w:ascii="Times New Roman" w:hAnsi="Times New Roman"/>
          <w:sz w:val="22"/>
        </w:rPr>
      </w:r>
    </w:p>
    <w:p>
      <w:pPr>
        <w:pStyle w:val="Normal"/>
        <w:spacing w:lineRule="atLeast" w:line="240"/>
        <w:ind w:start="720" w:end="144"/>
        <w:jc w:val="both"/>
        <w:rPr/>
      </w:pPr>
      <w:r>
        <w:rPr>
          <w:b/>
          <w:sz w:val="22"/>
        </w:rPr>
        <w:t>“</w:t>
      </w:r>
      <w:r>
        <w:rPr>
          <w:b/>
          <w:sz w:val="22"/>
        </w:rPr>
        <w:t>Net Worth”</w:t>
      </w:r>
      <w:r>
        <w:rPr>
          <w:sz w:val="22"/>
        </w:rPr>
        <w:t xml:space="preserve"> means consolidated total assets of [Party B] [Party B’s Credit Support Provider] (exclusive of intangible assets), minus the consolidated total liabilities of [Party B] [Party B’s Credit Support Provider], each as would be reflected on a consolidated balance sheet of [Party B] [Party B’s Credit Support Provider] prepared in accordance with GAAP.</w:t>
      </w:r>
    </w:p>
    <w:p>
      <w:pPr>
        <w:pStyle w:val="Normal"/>
        <w:spacing w:lineRule="atLeast" w:line="240"/>
        <w:ind w:start="720" w:end="144"/>
        <w:jc w:val="both"/>
        <w:rPr>
          <w:sz w:val="22"/>
        </w:rPr>
      </w:pPr>
      <w:r>
        <w:rPr>
          <w:sz w:val="22"/>
        </w:rPr>
      </w:r>
    </w:p>
    <w:p>
      <w:pPr>
        <w:pStyle w:val="Normal"/>
        <w:spacing w:lineRule="atLeast" w:line="240"/>
        <w:ind w:start="720" w:end="0"/>
        <w:jc w:val="both"/>
        <w:rPr>
          <w:sz w:val="22"/>
        </w:rPr>
      </w:pPr>
      <w:r>
        <w:rPr>
          <w:b/>
          <w:sz w:val="22"/>
        </w:rPr>
        <w:t>“</w:t>
      </w:r>
      <w:r>
        <w:rPr>
          <w:b/>
          <w:sz w:val="22"/>
        </w:rPr>
        <w:t>PV15 of PDP”</w:t>
      </w:r>
      <w:r>
        <w:rPr>
          <w:i/>
          <w:sz w:val="22"/>
        </w:rPr>
        <w:t xml:space="preserve"> </w:t>
      </w:r>
      <w:r>
        <w:rPr>
          <w:sz w:val="22"/>
        </w:rPr>
        <w:t xml:space="preserve">shall mean the present value worth before income taxes discounted at a rate of 15% of Party B’s proved developed producing reserves as indicated in the _______________ Report or such other independent reserve report prepared by a firm acceptable to Party A.  </w:t>
      </w:r>
      <w:r>
        <w:rPr>
          <w:i/>
          <w:sz w:val="22"/>
        </w:rPr>
        <w:t>[When this definition is added you need to add into the “Financial Information” section, the request for the engineering report as follows:</w:t>
      </w:r>
    </w:p>
    <w:p>
      <w:pPr>
        <w:pStyle w:val="Justified"/>
        <w:widowControl/>
        <w:spacing w:lineRule="atLeast" w:line="240" w:before="0" w:after="0"/>
        <w:rPr>
          <w:rFonts w:ascii="Times New Roman" w:hAnsi="Times New Roman" w:cs="Times New Roman"/>
          <w:sz w:val="22"/>
        </w:rPr>
      </w:pPr>
      <w:r>
        <w:rPr>
          <w:rFonts w:cs="Times New Roman" w:ascii="Times New Roman" w:hAnsi="Times New Roman"/>
          <w:sz w:val="22"/>
        </w:rPr>
      </w:r>
    </w:p>
    <w:p>
      <w:pPr>
        <w:pStyle w:val="Normal"/>
        <w:spacing w:lineRule="atLeast" w:line="240"/>
        <w:jc w:val="both"/>
        <w:rPr>
          <w:sz w:val="22"/>
        </w:rPr>
      </w:pPr>
      <w:r>
        <w:rPr>
          <w:sz w:val="22"/>
        </w:rPr>
        <w:t>“</w:t>
      </w:r>
      <w:r>
        <w:rPr>
          <w:sz w:val="22"/>
        </w:rPr>
        <w:t>as soon as available and in any event within thirty (30) days after such report has been prepared, a copy of the annual, any semi-annual or quarterly, _____________________ Report (which report sets forth, among other things, Party B’s annual reserves report, including its proved developed producing reserves) or any similar report prepared with respect to Party B.”</w:t>
      </w:r>
    </w:p>
    <w:p>
      <w:pPr>
        <w:pStyle w:val="Normal"/>
        <w:spacing w:lineRule="atLeast" w:line="240"/>
        <w:ind w:end="144"/>
        <w:jc w:val="both"/>
        <w:rPr>
          <w:sz w:val="22"/>
        </w:rPr>
      </w:pPr>
      <w:r>
        <w:rPr>
          <w:sz w:val="22"/>
        </w:rPr>
      </w:r>
    </w:p>
    <w:p>
      <w:pPr>
        <w:pStyle w:val="Normal"/>
        <w:spacing w:lineRule="atLeast" w:line="240"/>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Header"/>
        <w:widowControl/>
        <w:ind w:start="720" w:end="0"/>
        <w:rPr>
          <w:rFonts w:ascii="Times New Roman" w:hAnsi="Times New Roman" w:cs="Times New Roman"/>
          <w:sz w:val="22"/>
        </w:rPr>
      </w:pPr>
      <w:r>
        <w:rPr>
          <w:rFonts w:cs="Times New Roman" w:ascii="Times New Roman" w:hAnsi="Times New Roman"/>
          <w:sz w:val="22"/>
        </w:rPr>
      </w:r>
    </w:p>
    <w:p>
      <w:pPr>
        <w:pStyle w:val="Normal"/>
        <w:spacing w:lineRule="atLeast" w:line="240"/>
        <w:ind w:start="720" w:end="144"/>
        <w:jc w:val="both"/>
        <w:rPr/>
      </w:pPr>
      <w:r>
        <w:rPr>
          <w:b/>
          <w:sz w:val="22"/>
        </w:rPr>
        <w:t>“</w:t>
      </w:r>
      <w:r>
        <w:rPr>
          <w:b/>
          <w:sz w:val="22"/>
        </w:rPr>
        <w:t>Total Debt”</w:t>
      </w:r>
      <w:r>
        <w:rPr>
          <w:sz w:val="22"/>
        </w:rPr>
        <w:t xml:space="preserve"> means consolidated indebtedness of [Party B] [Party B’s Credit Support Provider].</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1999-09-02T18:49:00Z</dcterms:created>
  <dc:creator>tjones</dc:creator>
  <dc:description/>
  <dc:language>en-CA</dc:language>
  <cp:lastModifiedBy>tjones</cp:lastModifiedBy>
  <dcterms:modified xsi:type="dcterms:W3CDTF">1999-09-02T18:57:00Z</dcterms:modified>
  <cp:revision>2</cp:revision>
  <dc:subject/>
  <dc:title>[INSERT IF MAC IS TO BE APPLICABLE TO ECT (“Party A”) AND COUNTERPARTY (“Party B”) (CREDIT RATINGS)]:</dc:title>
</cp:coreProperties>
</file>