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ind w:start="360" w:end="0"/>
        <w:rPr>
          <w:strike/>
          <w:color w:val="0000FF"/>
        </w:rPr>
      </w:pPr>
      <w:r>
        <w:rPr>
          <w:rFonts w:cs="Arial Narrow" w:ascii="Arial Narrow" w:hAnsi="Arial Narrow"/>
          <w:sz w:val="18"/>
          <w:szCs w:val="18"/>
        </w:rPr>
        <w:t>"</w:t>
      </w:r>
      <w:r>
        <w:rPr>
          <w:rFonts w:cs="Arial Narrow" w:ascii="Arial Narrow" w:hAnsi="Arial Narrow"/>
          <w:b/>
          <w:bCs/>
          <w:i/>
          <w:iCs/>
          <w:sz w:val="18"/>
          <w:szCs w:val="18"/>
          <w:u w:val="single"/>
        </w:rPr>
        <w:t>Material Adverse Change</w:t>
      </w:r>
      <w:r>
        <w:rPr>
          <w:rFonts w:cs="Arial Narrow" w:ascii="Arial Narrow" w:hAnsi="Arial Narrow"/>
          <w:sz w:val="18"/>
          <w:szCs w:val="18"/>
        </w:rPr>
        <w:t xml:space="preserve">" means (i) with respect to Company, Enron Corp. shall have long-term debt unsupported by third party credit enhancement that is rated by Standard &amp; Poor's Corporation below BBB- or (ii) with respect to </w:t>
      </w:r>
      <w:r>
        <w:rPr>
          <w:rFonts w:cs="Arial Narrow" w:ascii="Arial Narrow" w:hAnsi="Arial Narrow"/>
          <w:strike/>
          <w:sz w:val="18"/>
          <w:szCs w:val="18"/>
        </w:rPr>
        <w:t>Customer, Customer's Guarantor shall have any of the following occuring at any time (a) the ratio of its Funded Debt  to its Net Worth is more than 1.5 to 1; or (b) its Net Worth falls below $200,000,000 or (c) that ratio of its  EBITDA to Interest Expense is</w:t>
      </w:r>
      <w:r>
        <w:rPr>
          <w:rFonts w:cs="Times New Roman" w:ascii="Times New Roman" w:hAnsi="Times New Roman"/>
          <w:strike/>
          <w:sz w:val="24"/>
          <w:szCs w:val="24"/>
        </w:rPr>
        <w:t xml:space="preserve"> </w:t>
      </w:r>
      <w:r>
        <w:rPr>
          <w:rFonts w:cs="Arial Narrow" w:ascii="Arial Narrow" w:hAnsi="Arial Narrow"/>
          <w:strike/>
          <w:sz w:val="18"/>
          <w:szCs w:val="18"/>
        </w:rPr>
        <w:t>more than 3.5  to 1.</w:t>
      </w:r>
      <w:r>
        <w:rPr>
          <w:color w:val="0000FF"/>
          <w:sz w:val="20"/>
          <w:szCs w:val="20"/>
        </w:rPr>
        <w:t xml:space="preserve"> Customer, Customer </w:t>
      </w:r>
      <w:r>
        <w:rPr>
          <w:rFonts w:cs="Arial Narrow" w:ascii="Arial Narrow" w:hAnsi="Arial Narrow"/>
          <w:sz w:val="18"/>
          <w:szCs w:val="18"/>
        </w:rPr>
        <w:t xml:space="preserve">shall have long-term debt unsupported by third party credit enhancement that is rated by Standard &amp; Poor's Corporation below BBB- </w:t>
      </w:r>
    </w:p>
    <w:p>
      <w:pPr>
        <w:pStyle w:val="Normal"/>
        <w:rPr>
          <w:strike/>
          <w:color w:val="0000FF"/>
        </w:rPr>
      </w:pPr>
      <w:r>
        <w:rPr>
          <w:strike/>
          <w:color w:val="0000FF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2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2001-04-05T17:17:00Z</dcterms:created>
  <dc:creator>KDirks</dc:creator>
  <dc:description/>
  <dc:language>en-CA</dc:language>
  <cp:lastModifiedBy>KDirks</cp:lastModifiedBy>
  <dcterms:modified xsi:type="dcterms:W3CDTF">2001-04-05T17:21:00Z</dcterms:modified>
  <cp:revision>1</cp:revision>
  <dc:subject/>
  <dc:title>"Material Adverse Change" means (i) with respect to Company, Enron Corp</dc:title>
</cp:coreProperties>
</file>