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Long Beach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LONG BEACH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Customer’s implied general obligation rating by Moody’s falls below A2.</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Long Beach California</w:t>
      </w:r>
    </w:p>
    <w:p>
      <w:pPr>
        <w:pStyle w:val="Normal"/>
        <w:jc w:val="both"/>
        <w:rPr>
          <w:rFonts w:ascii="Arial Narrow" w:hAnsi="Arial Narrow" w:cs="Arial Narrow"/>
          <w:sz w:val="18"/>
        </w:rPr>
      </w:pPr>
      <w:r>
        <w:rPr>
          <w:rFonts w:cs="Arial Narrow" w:ascii="Arial Narrow" w:hAnsi="Arial Narrow"/>
          <w:sz w:val="18"/>
        </w:rPr>
        <w:t>Attn:  Chris Garner</w:t>
      </w:r>
    </w:p>
    <w:p>
      <w:pPr>
        <w:pStyle w:val="Normal"/>
        <w:jc w:val="both"/>
        <w:rPr>
          <w:rFonts w:ascii="Arial Narrow" w:hAnsi="Arial Narrow" w:cs="Arial Narrow"/>
          <w:sz w:val="18"/>
        </w:rPr>
      </w:pPr>
      <w:r>
        <w:rPr>
          <w:rFonts w:cs="Arial Narrow" w:ascii="Arial Narrow" w:hAnsi="Arial Narrow"/>
          <w:sz w:val="18"/>
        </w:rPr>
        <w:t>2400 East Spring St.</w:t>
      </w:r>
    </w:p>
    <w:p>
      <w:pPr>
        <w:pStyle w:val="Normal"/>
        <w:jc w:val="both"/>
        <w:rPr>
          <w:rFonts w:ascii="Arial Narrow" w:hAnsi="Arial Narrow" w:cs="Arial Narrow"/>
          <w:sz w:val="18"/>
        </w:rPr>
      </w:pPr>
      <w:r>
        <w:rPr>
          <w:rFonts w:cs="Arial Narrow" w:ascii="Arial Narrow" w:hAnsi="Arial Narrow"/>
          <w:sz w:val="18"/>
        </w:rPr>
        <w:t>Long Beach, CA 90806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Long Beach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Long Beach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Long Beach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/mnt/main-storage/datasets/enron-docs/doc/Master_physical_contract_draft.doc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/mnt/main-storage/datasets/enron-docs/doc/Master_physical_contract_draft.doc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/mnt/main-storage/datasets/enron-docs/doc/Master_physical_contract_draft.doc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/mnt/main-storage/datasets/enron-docs/doc/Master_physical_contract_draft.doc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/mnt/main-storage/datasets/enron-docs/doc/Master_physical_contract_draft.doc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/mnt/main-storage/datasets/enron-docs/doc/Master_physical_contract_draft.doc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2001-03-30T13:35:00Z</dcterms:created>
  <dc:creator>dperlin</dc:creator>
  <dc:description/>
  <dc:language>en-CA</dc:language>
  <cp:lastModifiedBy>kward</cp:lastModifiedBy>
  <cp:lastPrinted>2001-03-12T15:51:00Z</cp:lastPrinted>
  <dcterms:modified xsi:type="dcterms:W3CDTF">2001-03-30T13:35:00Z</dcterms:modified>
  <cp:revision>2</cp:revision>
  <dc:subject/>
  <dc:title>ENFOLIO® MASTER FIRM PURCHASE/SALE AGREEMENT</dc:title>
</cp:coreProperties>
</file>