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ind w:hanging="0" w:start="0"/>
        <w:rPr/>
      </w:pPr>
      <w:r>
        <w:rPr/>
      </w:r>
    </w:p>
    <w:p>
      <w:pPr>
        <w:pStyle w:val="Normal"/>
        <w:widowControl/>
        <w:jc w:val="center"/>
        <w:rPr>
          <w:sz w:val="24"/>
        </w:rPr>
      </w:pPr>
      <w:r>
        <w:rPr>
          <w:sz w:val="24"/>
        </w:rPr>
        <w:t xml:space="preserve">   </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Heading4"/>
        <w:widowControl/>
        <w:ind w:hanging="0" w:start="0"/>
        <w:rPr/>
      </w:pPr>
      <w:r>
        <w:rPr/>
        <w:t>FIRST AMENDMENT TO</w:t>
      </w:r>
    </w:p>
    <w:p>
      <w:pPr>
        <w:pStyle w:val="Heading4"/>
        <w:widowControl/>
        <w:ind w:hanging="0" w:start="0"/>
        <w:rPr/>
      </w:pPr>
      <w:r>
        <w:rPr/>
        <w:t>MASTER</w:t>
      </w:r>
    </w:p>
    <w:p>
      <w:pPr>
        <w:pStyle w:val="BodyText3"/>
        <w:widowControl/>
        <w:rPr>
          <w:sz w:val="24"/>
        </w:rPr>
      </w:pPr>
      <w:r>
        <w:rPr>
          <w:sz w:val="24"/>
        </w:rPr>
        <w:t>SERVICES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CRESTONE ENERGY VENTURES, L.L.C.</w:t>
      </w:r>
    </w:p>
    <w:p>
      <w:pPr>
        <w:pStyle w:val="Normal"/>
        <w:widowControl/>
        <w:jc w:val="center"/>
        <w:rPr>
          <w:b/>
          <w:sz w:val="24"/>
        </w:rPr>
      </w:pPr>
      <w:r>
        <w:rPr>
          <w:b/>
          <w:sz w:val="24"/>
        </w:rPr>
        <w:t>FORMERLY KNOWN AS</w:t>
      </w:r>
    </w:p>
    <w:p>
      <w:pPr>
        <w:pStyle w:val="Normal"/>
        <w:widowControl/>
        <w:jc w:val="center"/>
        <w:rPr>
          <w:b/>
          <w:sz w:val="24"/>
        </w:rPr>
      </w:pPr>
      <w:r>
        <w:rPr>
          <w:b/>
          <w:sz w:val="24"/>
        </w:rPr>
        <w:t>NBP ENERGY PIPELINES, L.L.C.</w:t>
      </w:r>
    </w:p>
    <w:p>
      <w:pPr>
        <w:pStyle w:val="Normal"/>
        <w:widowControl/>
        <w:spacing w:before="120" w:after="0"/>
        <w:jc w:val="center"/>
        <w:rPr>
          <w:b/>
          <w:sz w:val="24"/>
        </w:rPr>
      </w:pPr>
      <w:r>
        <w:rPr>
          <w:b/>
          <w:sz w:val="24"/>
        </w:rPr>
        <w:t>(PROVIDER)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AND</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ENRON NORTH AMERICA CORP.</w:t>
      </w:r>
    </w:p>
    <w:p>
      <w:pPr>
        <w:pStyle w:val="Normal"/>
        <w:widowControl/>
        <w:spacing w:before="120" w:after="0"/>
        <w:jc w:val="center"/>
        <w:rPr>
          <w:b/>
          <w:sz w:val="24"/>
        </w:rPr>
      </w:pPr>
      <w:r>
        <w:rPr>
          <w:b/>
          <w:sz w:val="24"/>
        </w:rPr>
        <w:t>(CUSTOMER)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SEPTEMBER 30, 2001</w:t>
      </w:r>
    </w:p>
    <w:p>
      <w:pPr>
        <w:pStyle w:val="Normal"/>
        <w:widowControl/>
        <w:jc w:val="center"/>
        <w:rPr>
          <w:sz w:val="24"/>
        </w:rPr>
      </w:pPr>
      <w:r>
        <w:rPr>
          <w:sz w:val="24"/>
        </w:rPr>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widowControl/>
        <w:jc w:val="center"/>
        <w:rPr>
          <w:b/>
          <w:sz w:val="24"/>
        </w:rPr>
      </w:pPr>
      <w:r>
        <w:rPr>
          <w:b/>
          <w:sz w:val="24"/>
        </w:rPr>
      </w:r>
    </w:p>
    <w:p>
      <w:pPr>
        <w:pStyle w:val="Normal"/>
        <w:widowControl/>
        <w:jc w:val="center"/>
        <w:rPr>
          <w:b/>
          <w:sz w:val="24"/>
        </w:rPr>
      </w:pPr>
      <w:r>
        <w:rPr>
          <w:b/>
          <w:sz w:val="24"/>
        </w:rPr>
      </w:r>
    </w:p>
    <w:p>
      <w:pPr>
        <w:pStyle w:val="Heading4"/>
        <w:widowControl/>
        <w:ind w:hanging="0" w:start="0"/>
        <w:rPr/>
      </w:pPr>
      <w:r>
        <w:rPr/>
        <w:t>FIRST AMENDMENT TO MASTER SERVICES AGREEMENT</w:t>
      </w:r>
    </w:p>
    <w:p>
      <w:pPr>
        <w:pStyle w:val="Normal"/>
        <w:widowControl/>
        <w:rPr>
          <w:sz w:val="24"/>
        </w:rPr>
      </w:pPr>
      <w:r>
        <w:rPr>
          <w:sz w:val="24"/>
        </w:rPr>
      </w:r>
    </w:p>
    <w:p>
      <w:pPr>
        <w:pStyle w:val="BodyTextIndent2"/>
        <w:widowControl/>
        <w:spacing w:before="0" w:after="120"/>
        <w:rPr/>
      </w:pPr>
      <w:r>
        <w:rPr>
          <w:caps/>
        </w:rPr>
        <w:t>This FIRST AMENDEMNT TO MASTER SERVICES Agreement</w:t>
      </w:r>
      <w:r>
        <w:rPr/>
        <w:t xml:space="preserve"> (this “Amendment”) is entered into as of September 30, 2001 (the “Amendment Effective Date”) between Crestone Energy Ventures, L.L.C. formerly known as NBP Energy Pipelines, L.L.C., a Delaware limited liability company (“Provider”) and Enron North America Corp., a Delaware corporation (“Customer”), each a “Party” and together the “Parties.”</w:t>
      </w:r>
    </w:p>
    <w:p>
      <w:pPr>
        <w:pStyle w:val="BodyText"/>
        <w:widowControl/>
        <w:ind w:firstLine="720" w:end="0"/>
        <w:rPr>
          <w:b w:val="false"/>
        </w:rPr>
      </w:pPr>
      <w:r>
        <w:rPr>
          <w:b w:val="false"/>
        </w:rPr>
        <w:t>Whereas, Customer desires to buyout the remaining amounts comprising Customer’s Fixed Fee commitment under the Agreement and Provider has agreed to such buyout in exchange for the release of Customer’s rights to firm service under the Agreement.</w:t>
      </w:r>
    </w:p>
    <w:p>
      <w:pPr>
        <w:pStyle w:val="BodyText"/>
        <w:widowControl/>
        <w:ind w:firstLine="720" w:end="0"/>
        <w:rPr>
          <w:b w:val="false"/>
        </w:rPr>
      </w:pPr>
      <w:r>
        <w:rPr>
          <w:b w:val="false"/>
        </w:rPr>
      </w:r>
    </w:p>
    <w:p>
      <w:pPr>
        <w:pStyle w:val="BodyText"/>
        <w:widowControl/>
        <w:ind w:firstLine="720" w:end="0"/>
        <w:rPr>
          <w:b w:val="false"/>
        </w:rPr>
      </w:pPr>
      <w:r>
        <w:rPr>
          <w:b w:val="false"/>
        </w:rPr>
        <w:t>Whereas, the Parties desire to amend that certain Master Services Agreement between the Parties dated September 21, 2000 (the “Agreement”) to reflect this agreement.</w:t>
      </w:r>
    </w:p>
    <w:p>
      <w:pPr>
        <w:pStyle w:val="Normal"/>
        <w:widowControl/>
        <w:jc w:val="both"/>
        <w:rPr>
          <w:b/>
          <w:sz w:val="24"/>
        </w:rPr>
      </w:pPr>
      <w:r>
        <w:rPr>
          <w:b/>
          <w:sz w:val="24"/>
        </w:rPr>
      </w:r>
    </w:p>
    <w:p>
      <w:pPr>
        <w:pStyle w:val="Normal"/>
        <w:widowControl/>
        <w:ind w:firstLine="720" w:end="0"/>
        <w:jc w:val="both"/>
        <w:rPr/>
      </w:pPr>
      <w:r>
        <w:rPr>
          <w:b/>
          <w:caps/>
          <w:sz w:val="24"/>
        </w:rPr>
        <w:t>Now therefore</w:t>
      </w:r>
      <w:r>
        <w:rPr>
          <w:sz w:val="24"/>
        </w:rPr>
        <w:t>, the Parties hereto agree that for good and valuable consideration, the receipt of which is hereby acknowledged, the Agreement shall be amended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Amendment have the meanings set forth below and if not defined herein the meanings set forth in the Agreement.</w:t>
      </w:r>
    </w:p>
    <w:p>
      <w:pPr>
        <w:pStyle w:val="Normal"/>
        <w:autoSpaceDE w:val="false"/>
        <w:ind w:start="720" w:end="0"/>
        <w:jc w:val="both"/>
        <w:rPr>
          <w:b/>
          <w:sz w:val="24"/>
        </w:rPr>
      </w:pPr>
      <w:r>
        <w:rPr>
          <w:b/>
          <w:sz w:val="24"/>
        </w:rPr>
      </w:r>
    </w:p>
    <w:p>
      <w:pPr>
        <w:pStyle w:val="Normal"/>
        <w:autoSpaceDE w:val="false"/>
        <w:jc w:val="center"/>
        <w:rPr>
          <w:b/>
          <w:sz w:val="24"/>
        </w:rPr>
      </w:pPr>
      <w:r>
        <w:rPr>
          <w:b/>
          <w:sz w:val="24"/>
        </w:rPr>
        <w:t>2. AMENDMENTS</w:t>
      </w:r>
    </w:p>
    <w:p>
      <w:pPr>
        <w:pStyle w:val="Normal"/>
        <w:autoSpaceDE w:val="false"/>
        <w:jc w:val="both"/>
        <w:rPr>
          <w:b/>
          <w:sz w:val="24"/>
        </w:rPr>
      </w:pPr>
      <w:r>
        <w:rPr>
          <w:b/>
          <w:sz w:val="24"/>
        </w:rPr>
      </w:r>
    </w:p>
    <w:p>
      <w:pPr>
        <w:pStyle w:val="Normal"/>
        <w:numPr>
          <w:ilvl w:val="1"/>
          <w:numId w:val="2"/>
        </w:numPr>
        <w:autoSpaceDE w:val="false"/>
        <w:jc w:val="both"/>
        <w:rPr>
          <w:sz w:val="24"/>
        </w:rPr>
      </w:pPr>
      <w:r>
        <w:rPr>
          <w:sz w:val="24"/>
        </w:rPr>
        <w:t xml:space="preserve">     </w:t>
      </w:r>
      <w:r>
        <w:rPr>
          <w:sz w:val="24"/>
        </w:rPr>
        <w:t>Amendments to Definitions.</w:t>
      </w:r>
    </w:p>
    <w:p>
      <w:pPr>
        <w:pStyle w:val="Normal"/>
        <w:autoSpaceDE w:val="false"/>
        <w:ind w:start="720" w:end="0"/>
        <w:jc w:val="both"/>
        <w:rPr>
          <w:sz w:val="24"/>
        </w:rPr>
      </w:pPr>
      <w:r>
        <w:rPr>
          <w:sz w:val="24"/>
        </w:rPr>
      </w:r>
    </w:p>
    <w:p>
      <w:pPr>
        <w:pStyle w:val="Normal"/>
        <w:numPr>
          <w:ilvl w:val="1"/>
          <w:numId w:val="3"/>
        </w:numPr>
        <w:autoSpaceDE w:val="false"/>
        <w:jc w:val="both"/>
        <w:rPr>
          <w:sz w:val="24"/>
        </w:rPr>
      </w:pPr>
      <w:r>
        <w:rPr>
          <w:sz w:val="24"/>
        </w:rPr>
        <w:t xml:space="preserve">The following definition shall be added to Article 1 of the Agreement.  </w:t>
      </w:r>
    </w:p>
    <w:p>
      <w:pPr>
        <w:pStyle w:val="Normal"/>
        <w:autoSpaceDE w:val="false"/>
        <w:ind w:start="720" w:end="0"/>
        <w:jc w:val="both"/>
        <w:rPr>
          <w:sz w:val="24"/>
        </w:rPr>
      </w:pPr>
      <w:r>
        <w:rPr>
          <w:sz w:val="24"/>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Amendment Effective Date”</w:t>
      </w:r>
      <w:r>
        <w:rPr>
          <w:sz w:val="24"/>
        </w:rPr>
        <w:t xml:space="preserve"> shall have the meaning set forth in the introductory paragraph of this Agreement.</w:t>
      </w:r>
    </w:p>
    <w:p>
      <w:pPr>
        <w:pStyle w:val="WW-BodyText2"/>
        <w:numPr>
          <w:ilvl w:val="0"/>
          <w:numId w:val="3"/>
        </w:numPr>
        <w:rPr/>
      </w:pPr>
      <w:r>
        <w:rPr/>
        <w:t>The following definitions of “Daily Fee” and “Maximum Quantity” contained in Article 1 of the Agreement shall be deleted and replaced in their entirety with the following:</w:t>
      </w:r>
    </w:p>
    <w:p>
      <w:pPr>
        <w:pStyle w:val="WW-BodyText2"/>
        <w:ind w:start="720" w:end="0"/>
        <w:rPr>
          <w:i/>
          <w:i/>
        </w:rPr>
      </w:pPr>
      <w:r>
        <w:rPr>
          <w:i/>
        </w:rPr>
      </w:r>
    </w:p>
    <w:p>
      <w:pPr>
        <w:pStyle w:val="Normal"/>
        <w:widowControl/>
        <w:tabs>
          <w:tab w:val="clear" w:pos="720"/>
          <w:tab w:val="left" w:pos="1440" w:leader="none"/>
        </w:tabs>
        <w:spacing w:before="0" w:after="240"/>
        <w:ind w:start="720" w:end="0"/>
        <w:jc w:val="both"/>
        <w:rPr/>
      </w:pPr>
      <w:r>
        <w:rPr>
          <w:i/>
          <w:sz w:val="24"/>
        </w:rPr>
        <w:t xml:space="preserve"> </w:t>
      </w:r>
      <w:r>
        <w:rPr>
          <w:i/>
          <w:sz w:val="24"/>
        </w:rPr>
        <w:tab/>
        <w:t xml:space="preserve">“Daily Fee” </w:t>
      </w:r>
      <w:r>
        <w:rPr>
          <w:sz w:val="24"/>
        </w:rPr>
        <w:t>shall mean a fee of $ 45,000 per Day for the period commencing October 1, 2000 and continuing through December 31, 2000, and a fee of $ 21,600 per Day for the period commencing January 1, 2001 and continuing through September 30, 2001. The Parties acknowledge that Customer did not exercise the 2001 Option.</w:t>
      </w:r>
    </w:p>
    <w:p>
      <w:pPr>
        <w:pStyle w:val="Normal"/>
        <w:widowControl/>
        <w:tabs>
          <w:tab w:val="clear" w:pos="720"/>
          <w:tab w:val="left" w:pos="1440" w:leader="none"/>
        </w:tabs>
        <w:spacing w:before="0" w:after="240"/>
        <w:ind w:start="720" w:end="0"/>
        <w:jc w:val="both"/>
        <w:rPr/>
      </w:pPr>
      <w:r>
        <w:rPr>
          <w:i/>
          <w:sz w:val="24"/>
        </w:rPr>
        <w:tab/>
        <w:t xml:space="preserve">“Maximum Quantity” </w:t>
      </w:r>
      <w:r>
        <w:rPr>
          <w:sz w:val="24"/>
        </w:rPr>
        <w:t>shall mean shall mean 250,000 MMBtu of gas per Day for the period commencing October 1, 2000 and continuing through December 31, 2000; 120,000 MMBtu of gas per Day for the period commencing January 1, 2001 and continuing through September 30, 2001 and 0 MMBtu of gas per Day thereafter. The Parties acknowledge that Customer did not exercise the 2001 Option.</w:t>
      </w:r>
    </w:p>
    <w:p>
      <w:pPr>
        <w:pStyle w:val="WW-BodyText2"/>
        <w:keepNext w:val="true"/>
        <w:widowControl/>
        <w:ind w:firstLine="720" w:end="0"/>
        <w:rPr/>
      </w:pPr>
      <w:r>
        <w:rPr/>
        <w:t xml:space="preserve">2.2 </w:t>
        <w:tab/>
        <w:t>The following Section 5.7 shall be added to Article 5 of the Agreement:</w:t>
      </w:r>
    </w:p>
    <w:p>
      <w:pPr>
        <w:pStyle w:val="WW-BodyText2"/>
        <w:keepNext w:val="true"/>
        <w:widowControl/>
        <w:ind w:firstLine="720" w:end="0"/>
        <w:rPr/>
      </w:pPr>
      <w:r>
        <w:rPr/>
      </w:r>
    </w:p>
    <w:p>
      <w:pPr>
        <w:pStyle w:val="WW-BodyText2"/>
        <w:keepNext w:val="true"/>
        <w:widowControl/>
        <w:ind w:firstLine="720" w:end="0"/>
        <w:rPr/>
      </w:pPr>
      <w:r>
        <w:rPr/>
        <w:t>5.7</w:t>
        <w:tab/>
      </w:r>
      <w:r>
        <w:rPr>
          <w:b/>
          <w:bCs/>
        </w:rPr>
        <w:t>Buyout Payment</w:t>
      </w:r>
      <w:r>
        <w:rPr/>
        <w:t>.  On or before December 31, 2001, Customer shall pay Provider a buyout payment equal to $___________.</w:t>
      </w:r>
    </w:p>
    <w:p>
      <w:pPr>
        <w:pStyle w:val="WW-BodyText2"/>
        <w:keepNext w:val="true"/>
        <w:widowControl/>
        <w:ind w:firstLine="720" w:end="0"/>
        <w:rPr/>
      </w:pPr>
      <w:r>
        <w:rPr/>
      </w:r>
    </w:p>
    <w:p>
      <w:pPr>
        <w:pStyle w:val="WW-BodyText2"/>
        <w:keepNext w:val="true"/>
        <w:widowControl/>
        <w:ind w:firstLine="720" w:end="0"/>
        <w:rPr/>
      </w:pPr>
      <w:r>
        <w:rPr/>
        <w:t>2.3</w:t>
        <w:tab/>
        <w:t>The Provider notice address contained in Article 7 Notices shall be changed as follows:</w:t>
      </w:r>
    </w:p>
    <w:p>
      <w:pPr>
        <w:pStyle w:val="BodyTextIndent"/>
        <w:spacing w:before="0" w:after="0"/>
        <w:jc w:val="both"/>
        <w:rPr/>
      </w:pPr>
      <w:r>
        <w:rPr/>
      </w:r>
    </w:p>
    <w:p>
      <w:pPr>
        <w:pStyle w:val="Normal"/>
        <w:keepNext w:val="true"/>
        <w:widowControl/>
        <w:ind w:firstLine="720" w:end="0"/>
        <w:jc w:val="both"/>
        <w:rPr>
          <w:sz w:val="24"/>
        </w:rPr>
      </w:pPr>
      <w:r>
        <w:rPr>
          <w:sz w:val="24"/>
        </w:rPr>
        <w:t>To Provider:</w:t>
      </w:r>
    </w:p>
    <w:p>
      <w:pPr>
        <w:pStyle w:val="Normal"/>
        <w:keepNext w:val="true"/>
        <w:widowControl/>
        <w:ind w:firstLine="720" w:end="0"/>
        <w:jc w:val="both"/>
        <w:rPr>
          <w:sz w:val="24"/>
        </w:rPr>
      </w:pPr>
      <w:r>
        <w:rPr>
          <w:sz w:val="24"/>
        </w:rPr>
      </w:r>
    </w:p>
    <w:p>
      <w:pPr>
        <w:pStyle w:val="Normal"/>
        <w:widowControl/>
        <w:autoSpaceDE w:val="false"/>
        <w:spacing w:lineRule="atLeast" w:line="240"/>
        <w:ind w:start="720" w:end="0"/>
        <w:rPr>
          <w:color w:val="000000"/>
          <w:sz w:val="24"/>
        </w:rPr>
      </w:pPr>
      <w:r>
        <w:rPr>
          <w:color w:val="000000"/>
          <w:sz w:val="24"/>
        </w:rPr>
        <w:t xml:space="preserve">Crestone Energy Ventures, L.L.C. </w:t>
      </w:r>
    </w:p>
    <w:p>
      <w:pPr>
        <w:pStyle w:val="Normal"/>
        <w:keepNext w:val="true"/>
        <w:widowControl/>
        <w:ind w:firstLine="720" w:end="0"/>
        <w:jc w:val="both"/>
        <w:rPr/>
      </w:pPr>
      <w:r>
        <w:rPr>
          <w:color w:val="000000"/>
          <w:sz w:val="24"/>
        </w:rPr>
        <w:t>1400 16</w:t>
      </w:r>
      <w:r>
        <w:rPr>
          <w:color w:val="000000"/>
          <w:sz w:val="24"/>
          <w:vertAlign w:val="superscript"/>
        </w:rPr>
        <w:t>th</w:t>
      </w:r>
      <w:r>
        <w:rPr>
          <w:color w:val="000000"/>
          <w:sz w:val="24"/>
        </w:rPr>
        <w:t xml:space="preserve"> Street, Suite 310</w:t>
      </w:r>
    </w:p>
    <w:p>
      <w:pPr>
        <w:pStyle w:val="Normal"/>
        <w:keepNext w:val="true"/>
        <w:widowControl/>
        <w:ind w:firstLine="720" w:end="0"/>
        <w:jc w:val="both"/>
        <w:rPr>
          <w:color w:val="000000"/>
          <w:sz w:val="24"/>
        </w:rPr>
      </w:pPr>
      <w:r>
        <w:rPr>
          <w:color w:val="000000"/>
          <w:sz w:val="24"/>
        </w:rPr>
        <w:t>Denver, CO  80202</w:t>
      </w:r>
    </w:p>
    <w:p>
      <w:pPr>
        <w:pStyle w:val="Normal"/>
        <w:keepNext w:val="true"/>
        <w:widowControl/>
        <w:ind w:firstLine="720" w:end="0"/>
        <w:jc w:val="both"/>
        <w:rPr>
          <w:color w:val="000000"/>
          <w:sz w:val="24"/>
        </w:rPr>
      </w:pPr>
      <w:r>
        <w:rPr>
          <w:color w:val="000000"/>
          <w:sz w:val="24"/>
        </w:rPr>
        <w:t>Att: Mr. Don Baldridge</w:t>
      </w:r>
    </w:p>
    <w:p>
      <w:pPr>
        <w:pStyle w:val="Normal"/>
        <w:keepNext w:val="true"/>
        <w:widowControl/>
        <w:ind w:firstLine="720" w:end="0"/>
        <w:jc w:val="both"/>
        <w:rPr>
          <w:sz w:val="24"/>
        </w:rPr>
      </w:pPr>
      <w:r>
        <w:rPr>
          <w:color w:val="000000"/>
          <w:sz w:val="24"/>
        </w:rPr>
        <w:t>Phone:  (720) 946-3600</w:t>
      </w:r>
    </w:p>
    <w:p>
      <w:pPr>
        <w:pStyle w:val="Normal"/>
        <w:keepNext w:val="true"/>
        <w:widowControl/>
        <w:ind w:firstLine="720" w:end="0"/>
        <w:jc w:val="both"/>
        <w:rPr>
          <w:sz w:val="24"/>
        </w:rPr>
      </w:pPr>
      <w:r>
        <w:rPr>
          <w:sz w:val="24"/>
        </w:rPr>
        <w:t>Fax:      (720) 946-3710</w:t>
      </w:r>
    </w:p>
    <w:p>
      <w:pPr>
        <w:pStyle w:val="Heading5"/>
        <w:widowControl/>
        <w:rPr>
          <w:sz w:val="24"/>
        </w:rPr>
      </w:pPr>
      <w:r>
        <w:rPr>
          <w:sz w:val="24"/>
        </w:rPr>
      </w:r>
    </w:p>
    <w:p>
      <w:pPr>
        <w:pStyle w:val="Normal"/>
        <w:autoSpaceDE w:val="false"/>
        <w:jc w:val="center"/>
        <w:rPr>
          <w:b/>
          <w:sz w:val="24"/>
        </w:rPr>
      </w:pPr>
      <w:r>
        <w:rPr>
          <w:b/>
          <w:sz w:val="24"/>
        </w:rPr>
        <w:t>3. MISCELLANEOUS</w:t>
      </w:r>
    </w:p>
    <w:p>
      <w:pPr>
        <w:pStyle w:val="Normal"/>
        <w:autoSpaceDE w:val="false"/>
        <w:jc w:val="center"/>
        <w:rPr>
          <w:b/>
          <w:sz w:val="24"/>
        </w:rPr>
      </w:pPr>
      <w:r>
        <w:rPr>
          <w:b/>
          <w:sz w:val="24"/>
        </w:rPr>
      </w:r>
    </w:p>
    <w:p>
      <w:pPr>
        <w:pStyle w:val="Normal"/>
        <w:widowControl/>
        <w:ind w:firstLine="720" w:end="0"/>
        <w:jc w:val="both"/>
        <w:rPr>
          <w:sz w:val="24"/>
        </w:rPr>
      </w:pPr>
      <w:r>
        <w:rPr>
          <w:sz w:val="24"/>
        </w:rPr>
        <w:t>This Amendment may be executed in any number of counterparts, each of which shall be deemed to be an original and need not be signed by more than one of the Parties and all of which shall constitute one and the same agreement.  Except as expressly amended as set forth herein, the Agreement shall remain unchanged and in full force and effect.  THIS AMENDMENT SHALL BE GOVERNED IN ACCORDANCE WITH THE LAWS OF THE STATE OF TEXAS.</w:t>
      </w:r>
    </w:p>
    <w:p>
      <w:pPr>
        <w:pStyle w:val="Normal"/>
        <w:widowControl/>
        <w:ind w:firstLine="720" w:end="0"/>
        <w:jc w:val="both"/>
        <w:rPr>
          <w:sz w:val="24"/>
        </w:rPr>
      </w:pPr>
      <w:r>
        <w:rPr>
          <w:sz w:val="24"/>
        </w:rPr>
      </w:r>
    </w:p>
    <w:p>
      <w:pPr>
        <w:pStyle w:val="Normal"/>
        <w:widowControl/>
        <w:ind w:firstLine="720" w:end="0"/>
        <w:jc w:val="both"/>
        <w:rPr>
          <w:sz w:val="24"/>
        </w:rPr>
      </w:pPr>
      <w:r>
        <w:rPr>
          <w:sz w:val="24"/>
        </w:rPr>
        <w:t>This Amendment is executed by each Party effective as of the Amendment Effective Date.</w:t>
      </w:r>
    </w:p>
    <w:p>
      <w:pPr>
        <w:pStyle w:val="Normal"/>
        <w:widowControl/>
        <w:ind w:firstLine="720" w:end="0"/>
        <w:jc w:val="both"/>
        <w:rPr>
          <w:sz w:val="24"/>
        </w:rPr>
      </w:pPr>
      <w:r>
        <w:rPr>
          <w:sz w:val="24"/>
        </w:rPr>
      </w:r>
    </w:p>
    <w:tbl>
      <w:tblPr>
        <w:tblW w:w="8640" w:type="dxa"/>
        <w:jc w:val="start"/>
        <w:tblInd w:w="108" w:type="dxa"/>
        <w:tblLayout w:type="fixed"/>
        <w:tblCellMar>
          <w:top w:w="0" w:type="dxa"/>
          <w:start w:w="108" w:type="dxa"/>
          <w:bottom w:w="0" w:type="dxa"/>
          <w:end w:w="108" w:type="dxa"/>
        </w:tblCellMar>
      </w:tblPr>
      <w:tblGrid>
        <w:gridCol w:w="4500"/>
        <w:gridCol w:w="4140"/>
      </w:tblGrid>
      <w:tr>
        <w:trPr/>
        <w:tc>
          <w:tcPr>
            <w:tcW w:w="4500" w:type="dxa"/>
            <w:tcBorders/>
          </w:tcPr>
          <w:p>
            <w:pPr>
              <w:pStyle w:val="Normal"/>
              <w:widowControl/>
              <w:jc w:val="both"/>
              <w:rPr>
                <w:sz w:val="24"/>
              </w:rPr>
            </w:pPr>
            <w:r>
              <w:rPr>
                <w:sz w:val="24"/>
              </w:rPr>
              <w:t>PROVIDER</w:t>
            </w:r>
          </w:p>
          <w:p>
            <w:pPr>
              <w:pStyle w:val="Normal"/>
              <w:widowControl/>
              <w:jc w:val="both"/>
              <w:rPr>
                <w:sz w:val="24"/>
              </w:rPr>
            </w:pPr>
            <w:r>
              <w:rPr>
                <w:sz w:val="24"/>
              </w:rPr>
            </w:r>
          </w:p>
          <w:p>
            <w:pPr>
              <w:pStyle w:val="Normal"/>
              <w:widowControl/>
              <w:jc w:val="both"/>
              <w:rPr>
                <w:sz w:val="24"/>
              </w:rPr>
            </w:pPr>
            <w:r>
              <w:rPr>
                <w:sz w:val="24"/>
              </w:rPr>
              <w:t>CRESTONE ENERGY VENTURES,</w:t>
            </w:r>
          </w:p>
          <w:p>
            <w:pPr>
              <w:pStyle w:val="Normal"/>
              <w:widowControl/>
              <w:jc w:val="both"/>
              <w:rPr>
                <w:sz w:val="24"/>
              </w:rPr>
            </w:pPr>
            <w:r>
              <w:rPr>
                <w:sz w:val="24"/>
              </w:rPr>
              <w:t xml:space="preserve"> </w:t>
            </w:r>
            <w:r>
              <w:rPr>
                <w:sz w:val="24"/>
              </w:rPr>
              <w:t>L.L.C., formerly known as NBP</w:t>
            </w:r>
          </w:p>
          <w:p>
            <w:pPr>
              <w:pStyle w:val="Normal"/>
              <w:widowControl/>
              <w:jc w:val="both"/>
              <w:rPr>
                <w:sz w:val="24"/>
              </w:rPr>
            </w:pPr>
            <w:r>
              <w:rPr>
                <w:sz w:val="24"/>
              </w:rPr>
              <w:t xml:space="preserve"> </w:t>
            </w:r>
            <w:r>
              <w:rPr>
                <w:sz w:val="24"/>
              </w:rPr>
              <w:t xml:space="preserve">Energy Pipelines, L.L.C. </w:t>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Heading6"/>
              <w:widowControl/>
              <w:ind w:hanging="0" w:start="0"/>
              <w:rPr/>
            </w:pPr>
            <w:r>
              <w:rPr/>
              <w:t>Name:</w:t>
              <w:tab/>
              <w:t>Brian F. Bierbach</w:t>
            </w:r>
          </w:p>
          <w:p>
            <w:pPr>
              <w:pStyle w:val="Normal"/>
              <w:widowControl/>
              <w:jc w:val="both"/>
              <w:rPr>
                <w:b/>
                <w:sz w:val="24"/>
              </w:rPr>
            </w:pPr>
            <w:r>
              <w:rPr>
                <w:b/>
                <w:sz w:val="24"/>
              </w:rPr>
            </w:r>
          </w:p>
          <w:p>
            <w:pPr>
              <w:pStyle w:val="Normal"/>
              <w:widowControl/>
              <w:jc w:val="both"/>
              <w:rPr>
                <w:sz w:val="24"/>
              </w:rPr>
            </w:pPr>
            <w:r>
              <w:rPr>
                <w:sz w:val="24"/>
              </w:rPr>
              <w:t>Title:</w:t>
              <w:tab/>
              <w:t>President</w:t>
            </w:r>
          </w:p>
        </w:tc>
        <w:tc>
          <w:tcPr>
            <w:tcW w:w="4140" w:type="dxa"/>
            <w:tcBorders/>
          </w:tcPr>
          <w:p>
            <w:pPr>
              <w:pStyle w:val="Normal"/>
              <w:widowControl/>
              <w:jc w:val="both"/>
              <w:rPr>
                <w:sz w:val="24"/>
              </w:rPr>
            </w:pPr>
            <w:r>
              <w:rPr>
                <w:sz w:val="24"/>
              </w:rPr>
              <w:t>CUSTOMER</w:t>
            </w:r>
          </w:p>
          <w:p>
            <w:pPr>
              <w:pStyle w:val="Normal"/>
              <w:widowControl/>
              <w:jc w:val="both"/>
              <w:rPr>
                <w:sz w:val="24"/>
              </w:rPr>
            </w:pPr>
            <w:r>
              <w:rPr>
                <w:sz w:val="24"/>
              </w:rPr>
            </w:r>
          </w:p>
          <w:p>
            <w:pPr>
              <w:pStyle w:val="Normal"/>
              <w:widowControl/>
              <w:jc w:val="both"/>
              <w:rPr>
                <w:sz w:val="24"/>
              </w:rPr>
            </w:pPr>
            <w:r>
              <w:rPr>
                <w:sz w:val="24"/>
              </w:rPr>
              <w:t>ENRON NORTH AMERICA CORP.</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WW-BodyText2"/>
              <w:widowControl/>
              <w:tabs>
                <w:tab w:val="clear" w:pos="720"/>
                <w:tab w:val="left" w:pos="-918" w:leader="none"/>
              </w:tabs>
              <w:rPr/>
            </w:pPr>
            <w:r>
              <w:rPr/>
              <w:t>Name: Mark Whitt</w:t>
            </w:r>
          </w:p>
          <w:p>
            <w:pPr>
              <w:pStyle w:val="WW-BodyText2"/>
              <w:widowControl/>
              <w:tabs>
                <w:tab w:val="clear" w:pos="720"/>
                <w:tab w:val="left" w:pos="-918" w:leader="none"/>
              </w:tabs>
              <w:rPr>
                <w:b/>
              </w:rPr>
            </w:pPr>
            <w:r>
              <w:rPr>
                <w:b/>
              </w:rPr>
            </w:r>
          </w:p>
          <w:p>
            <w:pPr>
              <w:pStyle w:val="WW-BodyText2"/>
              <w:widowControl/>
              <w:tabs>
                <w:tab w:val="clear" w:pos="720"/>
                <w:tab w:val="left" w:pos="-918" w:leader="none"/>
              </w:tabs>
              <w:rPr>
                <w:u w:val="single"/>
              </w:rPr>
            </w:pPr>
            <w:r>
              <w:rPr/>
              <w:t>Title:   Vice President</w:t>
            </w:r>
          </w:p>
          <w:p>
            <w:pPr>
              <w:pStyle w:val="Normal"/>
              <w:widowControl/>
              <w:jc w:val="both"/>
              <w:rPr>
                <w:sz w:val="24"/>
                <w:u w:val="single"/>
              </w:rPr>
            </w:pPr>
            <w:r>
              <w:rPr>
                <w:sz w:val="24"/>
                <w:u w:val="single"/>
              </w:rPr>
            </w:r>
          </w:p>
        </w:tc>
      </w:tr>
    </w:tbl>
    <w:p>
      <w:pPr>
        <w:pStyle w:val="Normal"/>
        <w:rPr/>
      </w:pPr>
      <w:r>
        <w:rPr/>
      </w:r>
    </w:p>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577242.1</w:t>
      <w:tab/>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3">
    <w:lvl w:ilvl="0">
      <w:start w:val="1"/>
      <w:numFmt w:val="lowerLetter"/>
      <w:lvlText w:val="%1."/>
      <w:lvlJc w:val="start"/>
      <w:pPr>
        <w:tabs>
          <w:tab w:val="num" w:pos="1170"/>
        </w:tabs>
        <w:ind w:start="1170" w:hanging="45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tabs>
        <w:tab w:val="clear" w:pos="720"/>
        <w:tab w:val="left" w:pos="1080" w:leader="none"/>
      </w:tabs>
      <w:ind w:hanging="0" w:start="720" w:end="0"/>
      <w:outlineLvl w:val="8"/>
    </w:pPr>
    <w:rPr>
      <w:b/>
      <w:sz w:val="24"/>
    </w:rPr>
  </w:style>
  <w:style w:type="character" w:styleId="WW8Num2z0">
    <w:name w:val="WW8Num2z0"/>
    <w:qFormat/>
    <w:rPr/>
  </w:style>
  <w:style w:type="character" w:styleId="WW8Num4z0">
    <w:name w:val="WW8Num4z0"/>
    <w:qFormat/>
    <w:rPr/>
  </w:style>
  <w:style w:type="character" w:styleId="WW8Num5z1">
    <w:name w:val="WW8Num5z1"/>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i w:val="false"/>
      <w:sz w:val="24"/>
    </w:rPr>
  </w:style>
  <w:style w:type="character" w:styleId="WW8Num16z0">
    <w:name w:val="WW8Num16z0"/>
    <w:qFormat/>
    <w:rPr/>
  </w:style>
  <w:style w:type="character" w:styleId="WW8Num17z0">
    <w:name w:val="WW8Num17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jc w:val="both"/>
    </w:pPr>
    <w:rPr>
      <w:sz w:val="24"/>
    </w:rPr>
  </w:style>
  <w:style w:type="paragraph" w:styleId="WW-BodyText2">
    <w:name w:val="WW-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BodyTextIndent">
    <w:name w:val="Body Text Indent"/>
    <w:basedOn w:val="Normal"/>
    <w:pPr>
      <w:widowControl/>
      <w:spacing w:before="0" w:after="120"/>
      <w:ind w:firstLine="720" w:start="0" w:end="0"/>
    </w:pPr>
    <w:rPr>
      <w:sz w:val="24"/>
    </w:rPr>
  </w:style>
  <w:style w:type="paragraph" w:styleId="TOC4">
    <w:name w:val="toc 4"/>
    <w:basedOn w:val="Normal"/>
    <w:next w:val="Normal"/>
    <w:pPr>
      <w:tabs>
        <w:tab w:val="clear" w:pos="720"/>
        <w:tab w:val="right" w:pos="9360" w:leader="dot"/>
      </w:tabs>
      <w:suppressAutoHyphens w:val="true"/>
      <w:ind w:hanging="720" w:start="2880" w:end="720"/>
    </w:pPr>
    <w:rPr>
      <w:rFonts w:ascii="Courier New" w:hAnsi="Courier New" w:cs="Courier New"/>
    </w:rPr>
  </w:style>
  <w:style w:type="paragraph" w:styleId="BlockText">
    <w:name w:val="Block Text"/>
    <w:basedOn w:val="Normal"/>
    <w:qFormat/>
    <w:pPr>
      <w:widowControl/>
      <w:tabs>
        <w:tab w:val="left" w:pos="720" w:leader="none"/>
        <w:tab w:val="left" w:pos="8100" w:leader="dot"/>
      </w:tabs>
      <w:spacing w:before="0" w:after="120"/>
      <w:ind w:hanging="720" w:start="720" w:end="720"/>
    </w:pPr>
    <w:rPr>
      <w:b/>
      <w:sz w:val="24"/>
    </w:rPr>
  </w:style>
  <w:style w:type="paragraph" w:styleId="Legal2">
    <w:name w:val="Legal 2"/>
    <w:basedOn w:val="Normal"/>
    <w:qFormat/>
    <w:pPr>
      <w:overflowPunct w:val="false"/>
      <w:autoSpaceDE w:val="false"/>
      <w:ind w:hanging="720" w:start="0" w:end="0"/>
      <w:textAlignment w:val="baseline"/>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2001-09-19T19:59:00Z</dcterms:created>
  <dc:creator>ECT</dc:creator>
  <dc:description/>
  <dc:language>en-CA</dc:language>
  <cp:lastModifiedBy>sdaniel</cp:lastModifiedBy>
  <cp:lastPrinted>2001-09-10T10:08:00Z</cp:lastPrinted>
  <dcterms:modified xsi:type="dcterms:W3CDTF">2001-09-19T20:16:00Z</dcterms:modified>
  <cp:revision>3</cp:revision>
  <dc:subject/>
  <dc:title>COMPRESSION MANAGEMENT AGREEMENT</dc:title>
</cp:coreProperties>
</file>