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DRAFT 8/28/00</w:t>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bCs/>
        </w:rPr>
      </w:pPr>
      <w:r>
        <w:rPr>
          <w:bCs/>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OCTOBER 1, 2000</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MASTER SERVICES AGREEMENT</w:t>
      </w:r>
    </w:p>
    <w:p>
      <w:pPr>
        <w:pStyle w:val="Normal"/>
        <w:widowControl/>
        <w:rPr>
          <w:sz w:val="24"/>
        </w:rPr>
      </w:pPr>
      <w:r>
        <w:rPr>
          <w:sz w:val="24"/>
        </w:rPr>
      </w:r>
    </w:p>
    <w:p>
      <w:pPr>
        <w:pStyle w:val="BodyTextIndent2"/>
        <w:widowControl/>
        <w:spacing w:before="0" w:after="120"/>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contract with Provider for Services, as defined below; and</w:t>
      </w:r>
    </w:p>
    <w:p>
      <w:pPr>
        <w:pStyle w:val="BodyText"/>
        <w:widowControl/>
        <w:ind w:firstLine="720" w:end="0"/>
        <w:rPr>
          <w:b w:val="false"/>
        </w:rPr>
      </w:pPr>
      <w:r>
        <w:rPr>
          <w:b w:val="false"/>
        </w:rPr>
      </w:r>
    </w:p>
    <w:p>
      <w:pPr>
        <w:pStyle w:val="BodyText"/>
        <w:widowControl/>
        <w:ind w:firstLine="720" w:end="0"/>
        <w:rPr>
          <w:b w:val="false"/>
        </w:rPr>
      </w:pPr>
      <w:r>
        <w:rPr>
          <w:b w:val="false"/>
        </w:rPr>
        <w:t>Whereas, Provider desires to provide such Services on the terms and conditions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Normal"/>
        <w:rPr>
          <w:b/>
        </w:rPr>
      </w:pPr>
      <w:r>
        <w:rPr>
          <w:b/>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Administrative Services</w:t>
      </w:r>
      <w:r>
        <w:rPr>
          <w:iCs/>
          <w:sz w:val="24"/>
        </w:rPr>
        <w:t>” shall have the meaning as set forth in the Service Operating Schdeule.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14.1 below.</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Customer”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Daily Fee” </w:t>
      </w:r>
      <w:r>
        <w:rPr>
          <w:iCs/>
          <w:sz w:val="24"/>
        </w:rPr>
        <w:t>shall mean a fee of</w:t>
      </w:r>
      <w:r>
        <w:rPr>
          <w:sz w:val="24"/>
        </w:rPr>
        <w:t xml:space="preserve"> $49,063 per Day for the period commencing October 1, 2000 and continuing through December 31, 2000, and a fee of $21,588 per Day for the period commencing January 1, 2001 and continuing through December 31, 2001.</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Schedule I.</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ind w:start="720" w:end="0"/>
        <w:jc w:val="both"/>
        <w:rPr/>
      </w:pPr>
      <w:r>
        <w:rPr>
          <w:i/>
        </w:rPr>
        <w:tab/>
        <w:t>“</w:t>
      </w:r>
      <w:r>
        <w:rPr>
          <w:i/>
          <w:sz w:val="24"/>
        </w:rPr>
        <w:t xml:space="preserve">Gas Services” </w:t>
      </w:r>
      <w:r>
        <w:rPr>
          <w:iCs/>
          <w:sz w:val="24"/>
        </w:rPr>
        <w:t>shall have the meaning s</w:t>
      </w:r>
      <w:r>
        <w:rPr>
          <w:sz w:val="24"/>
        </w:rPr>
        <w:t>et in the Service Operating  Schedule and any currently effective Service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Initial Term” </w:t>
      </w:r>
      <w:r>
        <w:rPr>
          <w:sz w:val="24"/>
        </w:rPr>
        <w:t>shall have the meaning set forth in Section 3 below.</w:t>
      </w:r>
    </w:p>
    <w:p>
      <w:pPr>
        <w:pStyle w:val="Normal"/>
        <w:widowControl/>
        <w:tabs>
          <w:tab w:val="clear" w:pos="720"/>
          <w:tab w:val="left" w:pos="1440" w:leader="none"/>
        </w:tabs>
        <w:spacing w:before="0" w:after="240"/>
        <w:jc w:val="both"/>
        <w:rPr/>
      </w:pPr>
      <w:r>
        <w:rPr>
          <w:i/>
          <w:sz w:val="24"/>
        </w:rPr>
        <w:tab/>
        <w:t>“Provider”</w:t>
      </w:r>
      <w:r>
        <w:rPr>
          <w:sz w:val="24"/>
        </w:rPr>
        <w:t xml:space="preserve"> shall mean NBP Energy Pipelines, L.L.C.</w:t>
      </w:r>
    </w:p>
    <w:p>
      <w:pPr>
        <w:pStyle w:val="Normal"/>
        <w:widowControl/>
        <w:tabs>
          <w:tab w:val="clear" w:pos="720"/>
          <w:tab w:val="left" w:pos="1440" w:leader="none"/>
        </w:tabs>
        <w:spacing w:before="0" w:after="240"/>
        <w:jc w:val="both"/>
        <w:rPr/>
      </w:pPr>
      <w:r>
        <w:rPr>
          <w:sz w:val="24"/>
        </w:rPr>
        <w:tab/>
        <w:t>“</w:t>
      </w:r>
      <w:r>
        <w:rPr>
          <w:i/>
          <w:iCs/>
          <w:sz w:val="24"/>
        </w:rPr>
        <w:t>Provider Default</w:t>
      </w:r>
      <w:r>
        <w:rPr>
          <w:sz w:val="24"/>
        </w:rPr>
        <w:t>” shall have the meaning set forth in Section 13.2.</w:t>
      </w:r>
    </w:p>
    <w:p>
      <w:pPr>
        <w:pStyle w:val="Normal"/>
        <w:widowControl/>
        <w:tabs>
          <w:tab w:val="clear" w:pos="720"/>
          <w:tab w:val="left" w:pos="1440" w:leader="none"/>
        </w:tabs>
        <w:spacing w:before="0" w:after="240"/>
        <w:jc w:val="both"/>
        <w:rPr/>
      </w:pPr>
      <w:r>
        <w:rPr>
          <w:sz w:val="24"/>
        </w:rPr>
        <w:tab/>
        <w:t>“</w:t>
      </w:r>
      <w:r>
        <w:rPr>
          <w:i/>
          <w:iCs/>
          <w:sz w:val="24"/>
        </w:rPr>
        <w:t>Provider’s Deficiency Quantity</w:t>
      </w:r>
      <w:r>
        <w:rPr>
          <w:sz w:val="24"/>
        </w:rPr>
        <w:t>” shall have the meaning set forth in Section 13.2.</w:t>
      </w:r>
    </w:p>
    <w:p>
      <w:pPr>
        <w:pStyle w:val="Normal"/>
        <w:widowControl/>
        <w:spacing w:before="0" w:after="240"/>
        <w:ind w:firstLine="720" w:start="720" w:end="0"/>
        <w:jc w:val="both"/>
        <w:rPr/>
      </w:pPr>
      <w:r>
        <w:rPr>
          <w:i/>
          <w:sz w:val="24"/>
        </w:rPr>
        <w:t xml:space="preserve"> “</w:t>
      </w:r>
      <w:r>
        <w:rPr>
          <w:i/>
          <w:sz w:val="24"/>
        </w:rPr>
        <w:t xml:space="preserve">Maximum Quantity” </w:t>
      </w:r>
      <w:r>
        <w:rPr>
          <w:iCs/>
          <w:sz w:val="24"/>
        </w:rPr>
        <w:t>shall mean _________ MMBtu of Gas per Day.</w:t>
      </w:r>
    </w:p>
    <w:p>
      <w:pPr>
        <w:pStyle w:val="Normal"/>
        <w:widowControl/>
        <w:spacing w:before="0" w:after="240"/>
        <w:ind w:firstLine="720" w:start="720" w:end="0"/>
        <w:jc w:val="both"/>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Customer and Provider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Normal"/>
        <w:ind w:firstLine="720" w:start="720" w:end="0"/>
        <w:jc w:val="both"/>
        <w:rPr/>
      </w:pPr>
      <w:r>
        <w:rPr>
          <w:bCs/>
          <w:i/>
          <w:sz w:val="24"/>
        </w:rPr>
        <w:t>“</w:t>
      </w:r>
      <w:r>
        <w:rPr>
          <w:bCs/>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not furnished by Provider.</w:t>
      </w:r>
    </w:p>
    <w:p>
      <w:pPr>
        <w:pStyle w:val="Normal"/>
        <w:ind w:firstLine="720" w:start="720" w:end="0"/>
        <w:jc w:val="both"/>
        <w:rPr>
          <w:sz w:val="24"/>
        </w:rPr>
      </w:pPr>
      <w:r>
        <w:rPr>
          <w:sz w:val="24"/>
        </w:rPr>
      </w:r>
    </w:p>
    <w:p>
      <w:pPr>
        <w:pStyle w:val="Normal"/>
        <w:ind w:firstLine="720" w:start="720" w:end="0"/>
        <w:jc w:val="both"/>
        <w:rPr/>
      </w:pPr>
      <w:r>
        <w:rPr>
          <w:bCs/>
          <w:i/>
          <w:sz w:val="24"/>
        </w:rPr>
        <w:t>“</w:t>
      </w:r>
      <w:r>
        <w:rPr>
          <w:i/>
          <w:sz w:val="24"/>
        </w:rPr>
        <w:t xml:space="preserve">Scheduled Volume” </w:t>
      </w:r>
      <w:r>
        <w:rPr>
          <w:sz w:val="24"/>
        </w:rPr>
        <w:t>shall have the meaning set forth in Section 2.2 of Schedule I.</w:t>
      </w:r>
    </w:p>
    <w:p>
      <w:pPr>
        <w:pStyle w:val="Normal"/>
        <w:ind w:firstLine="720"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 Schedule” </w:t>
      </w:r>
      <w:r>
        <w:rPr>
          <w:iCs/>
          <w:sz w:val="24"/>
        </w:rPr>
        <w:t>shall mean all such Services Schedules as may be entered into by Provider and Customer from time to time for Gas Services, the form of which is attached as Exhibit B.</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Services” </w:t>
      </w:r>
      <w:r>
        <w:rPr>
          <w:sz w:val="24"/>
        </w:rPr>
        <w:t>shall mean the provision by Provider of Gas Services and Agministrative Services.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Services Operating Schedule” </w:t>
      </w:r>
      <w:r>
        <w:rPr>
          <w:sz w:val="24"/>
        </w:rPr>
        <w:t>shall mean the document attached to this Agreement as Schedule I, which is incorporated herein for all purposes.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Variable Quantity”</w:t>
      </w:r>
      <w:r>
        <w:rPr>
          <w:sz w:val="24"/>
        </w:rPr>
        <w:t xml:space="preserve"> shall mean the total quantity of gas nominated and scheduled for Customer’s account on a given day hereunder.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Variable Services Fee” </w:t>
      </w:r>
      <w:r>
        <w:rPr>
          <w:sz w:val="24"/>
        </w:rPr>
        <w:t>shall have the meaning set forth in Section 4.3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BodyTextIndent2"/>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Normal"/>
        <w:keepNext w:val="true"/>
        <w:widowControl/>
        <w:ind w:firstLine="720" w:end="0"/>
        <w:jc w:val="both"/>
        <w:rPr>
          <w:sz w:val="24"/>
        </w:rPr>
      </w:pPr>
      <w:r>
        <w:rPr>
          <w:sz w:val="24"/>
        </w:rPr>
      </w:r>
    </w:p>
    <w:p>
      <w:pPr>
        <w:pStyle w:val="Normal"/>
        <w:widowControl/>
        <w:jc w:val="both"/>
        <w:rPr>
          <w:sz w:val="24"/>
        </w:rPr>
      </w:pPr>
      <w:r>
        <w:rPr>
          <w:sz w:val="24"/>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Services shall be provided pursuant to this Agreement in accordance with the following:</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Services</w:t>
      </w:r>
      <w:r>
        <w:rPr>
          <w:sz w:val="24"/>
        </w:rPr>
        <w:t>.  The Services shall commence on the Effective Date and shall continue thereafter through December 31, 2001 (the “Initial Term”) and Month to Month thereafter, provided however that all Service Schedules shall remain in full force and effect for the term specified therein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becomputed in the manner set forth in Section 4.3, with each such amount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Services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14.1(a) below.  The Fixed Fee shall terminate at the end of the Initial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widowControl/>
        <w:tabs>
          <w:tab w:val="clear" w:pos="720"/>
          <w:tab w:val="left" w:pos="360" w:leader="none"/>
        </w:tabs>
        <w:ind w:firstLine="720" w:end="0"/>
        <w:jc w:val="both"/>
        <w:rPr>
          <w:sz w:val="24"/>
        </w:rPr>
      </w:pPr>
      <w:r>
        <w:rPr>
          <w:sz w:val="24"/>
        </w:rPr>
      </w:r>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pPr>
      <w:r>
        <w:rPr>
          <w:sz w:val="24"/>
        </w:rPr>
        <w:t>5.1</w:t>
        <w:tab/>
      </w:r>
      <w:r>
        <w:rPr>
          <w:sz w:val="24"/>
          <w:u w:val="single"/>
        </w:rPr>
        <w:t>Fixed Fees</w:t>
      </w:r>
      <w:r>
        <w:rPr>
          <w:sz w:val="24"/>
        </w:rPr>
        <w:t>.  On or before the 1</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w:t>
      </w:r>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5.5</w:t>
        <w:tab/>
      </w:r>
      <w:r>
        <w:rPr>
          <w:sz w:val="24"/>
          <w:u w:val="single"/>
        </w:rPr>
        <w:t>Wire Transfer Instructions.</w:t>
      </w:r>
      <w:r>
        <w:rPr>
          <w:sz w:val="24"/>
        </w:rPr>
        <w:t xml:space="preserve">  All payments to be made by Customer to Provider hereunder shall be payable by wire transfer to Provider at such place or account as Provider from time to time may designate in writing.</w:t>
      </w:r>
    </w:p>
    <w:p>
      <w:pPr>
        <w:pStyle w:val="Normal"/>
        <w:widowControl/>
        <w:ind w:firstLine="720" w:end="0"/>
        <w:jc w:val="both"/>
        <w:rPr>
          <w:sz w:val="24"/>
        </w:rPr>
      </w:pPr>
      <w:r>
        <w:rPr>
          <w:sz w:val="24"/>
        </w:rPr>
      </w:r>
    </w:p>
    <w:p>
      <w:pPr>
        <w:pStyle w:val="Normal"/>
        <w:ind w:firstLine="720" w:end="0"/>
        <w:jc w:val="both"/>
        <w:rPr/>
      </w:pPr>
      <w:r>
        <w:rPr>
          <w:bCs/>
          <w:sz w:val="24"/>
        </w:rPr>
        <w:t xml:space="preserve">5.6   </w:t>
      </w:r>
      <w:r>
        <w:rPr>
          <w:bCs/>
          <w:sz w:val="24"/>
          <w:u w:val="single"/>
        </w:rPr>
        <w:t>Netting</w:t>
      </w:r>
      <w:r>
        <w:rPr>
          <w:bCs/>
          <w:sz w:val="24"/>
        </w:rPr>
        <w:t>.  In the event that Customer and Provider are each required to pay an</w:t>
      </w:r>
      <w:r>
        <w:rPr>
          <w:sz w:val="24"/>
        </w:rPr>
        <w:t xml:space="preserve">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WW-BodyText2"/>
        <w:keepNext w:val="true"/>
        <w:widowControl/>
        <w:jc w:val="center"/>
        <w:rPr>
          <w:b/>
        </w:rPr>
      </w:pPr>
      <w:r>
        <w:rPr>
          <w:b/>
        </w:rPr>
        <w:t>6.  TAXES</w:t>
      </w:r>
    </w:p>
    <w:p>
      <w:pPr>
        <w:pStyle w:val="WW-BodyText2"/>
        <w:keepNext w:val="true"/>
        <w:widowControl/>
        <w:rPr>
          <w:b/>
        </w:rPr>
      </w:pPr>
      <w:r>
        <w:rPr>
          <w:b/>
        </w:rPr>
      </w:r>
    </w:p>
    <w:p>
      <w:pPr>
        <w:pStyle w:val="Normal"/>
        <w:ind w:firstLine="720" w:end="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Customer: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sz w:val="24"/>
        </w:rPr>
      </w:pPr>
      <w:r>
        <w:rPr>
          <w:sz w:val="24"/>
        </w:rPr>
        <w:br/>
      </w:r>
    </w:p>
    <w:p>
      <w:pPr>
        <w:pStyle w:val="Normal"/>
        <w:widowControl/>
        <w:ind w:start="720" w:end="0"/>
        <w:rPr>
          <w:sz w:val="24"/>
        </w:rPr>
      </w:pPr>
      <w:r>
        <w:rPr>
          <w:sz w:val="24"/>
        </w:rPr>
      </w:r>
    </w:p>
    <w:p>
      <w:pPr>
        <w:pStyle w:val="Normal"/>
        <w:widowControl/>
        <w:jc w:val="both"/>
        <w:rPr>
          <w:sz w:val="24"/>
        </w:rPr>
      </w:pPr>
      <w:r>
        <w:rPr>
          <w:sz w:val="24"/>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SERVICES </w:t>
      </w:r>
    </w:p>
    <w:p>
      <w:pPr>
        <w:pStyle w:val="Normal"/>
        <w:keepNext w:val="true"/>
        <w:widowControl/>
        <w:jc w:val="both"/>
        <w:rPr>
          <w:b/>
          <w:sz w:val="24"/>
        </w:rPr>
      </w:pPr>
      <w:r>
        <w:rPr>
          <w:b/>
          <w:sz w:val="24"/>
        </w:rPr>
      </w:r>
    </w:p>
    <w:p>
      <w:pPr>
        <w:pStyle w:val="BodyTextIndent2"/>
        <w:widowControl/>
        <w:rPr/>
      </w:pPr>
      <w:r>
        <w:rPr/>
        <w:t xml:space="preserve">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Normal"/>
        <w:rPr/>
      </w:pPr>
      <w:r>
        <w:rPr/>
      </w:r>
    </w:p>
    <w:p>
      <w:pPr>
        <w:pStyle w:val="Normal"/>
        <w:widowControl/>
        <w:jc w:val="both"/>
        <w:rPr>
          <w:sz w:val="24"/>
        </w:rPr>
      </w:pPr>
      <w:r>
        <w:rPr>
          <w:sz w:val="24"/>
        </w:rPr>
      </w:r>
    </w:p>
    <w:p>
      <w:pPr>
        <w:pStyle w:val="Normal"/>
        <w:keepNext w:val="true"/>
        <w:widowControl/>
        <w:ind w:firstLine="720" w:end="0"/>
        <w:jc w:val="center"/>
        <w:rPr/>
      </w:pPr>
      <w:r>
        <w:rPr>
          <w:b/>
          <w:sz w:val="24"/>
        </w:rPr>
        <w:t>9.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10.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10.1</w:t>
        <w:tab/>
      </w:r>
      <w:r>
        <w:rPr>
          <w:sz w:val="24"/>
          <w:u w:val="single"/>
        </w:rPr>
        <w:t>Provider Representations and Warranties</w:t>
      </w:r>
      <w:r>
        <w:rPr>
          <w:sz w:val="24"/>
        </w:rPr>
        <w:t>.  Provider represents and warrants to Customer as follows:</w:t>
      </w:r>
    </w:p>
    <w:p>
      <w:pPr>
        <w:pStyle w:val="Normal"/>
        <w:widowControl/>
        <w:jc w:val="both"/>
        <w:rPr>
          <w:sz w:val="24"/>
        </w:rPr>
      </w:pPr>
      <w:r>
        <w:rPr>
          <w:sz w:val="24"/>
        </w:rPr>
      </w:r>
    </w:p>
    <w:p>
      <w:pPr>
        <w:pStyle w:val="BodyTextIndent2"/>
        <w:widowControl/>
        <w:ind w:hanging="630" w:start="2070" w:end="0"/>
        <w:rPr/>
      </w:pPr>
      <w:r>
        <w:rPr/>
        <w:t>(a)</w:t>
        <w:tab/>
        <w:t>Provider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10.2</w:t>
        <w:tab/>
      </w:r>
      <w:r>
        <w:rPr>
          <w:sz w:val="24"/>
          <w:u w:val="single"/>
        </w:rPr>
        <w:t>Customer Representations and Warranties</w:t>
      </w:r>
      <w:r>
        <w:rPr>
          <w:sz w:val="24"/>
        </w:rPr>
        <w:t>.  Customer represents and warrants to Provider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11.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12.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ind w:firstLine="720" w:end="0"/>
        <w:jc w:val="both"/>
        <w:rPr>
          <w:sz w:val="24"/>
        </w:rPr>
      </w:pPr>
      <w:r>
        <w:rPr>
          <w:sz w:val="24"/>
        </w:rPr>
      </w:r>
    </w:p>
    <w:p>
      <w:pPr>
        <w:pStyle w:val="Normal"/>
        <w:widowControl/>
        <w:overflowPunct w:val="false"/>
        <w:autoSpaceDE w:val="false"/>
        <w:jc w:val="both"/>
        <w:rPr>
          <w:sz w:val="24"/>
        </w:rPr>
      </w:pPr>
      <w:r>
        <w:rPr>
          <w:sz w:val="24"/>
        </w:rPr>
      </w:r>
    </w:p>
    <w:p>
      <w:pPr>
        <w:pStyle w:val="Normal"/>
        <w:keepNext w:val="true"/>
        <w:widowControl/>
        <w:jc w:val="center"/>
        <w:rPr>
          <w:b/>
          <w:sz w:val="24"/>
        </w:rPr>
      </w:pPr>
      <w:r>
        <w:rPr>
          <w:b/>
          <w:sz w:val="24"/>
        </w:rPr>
        <w:t>13.  CERTAIN REMEDIES AVAILABLE FOR DEFAULT</w:t>
      </w:r>
    </w:p>
    <w:p>
      <w:pPr>
        <w:pStyle w:val="Normal"/>
        <w:keepNext w:val="true"/>
        <w:widowControl/>
        <w:jc w:val="center"/>
        <w:rPr>
          <w:b/>
          <w:sz w:val="24"/>
        </w:rPr>
      </w:pPr>
      <w:r>
        <w:rPr>
          <w:b/>
          <w:sz w:val="24"/>
        </w:rPr>
      </w:r>
    </w:p>
    <w:p>
      <w:pPr>
        <w:pStyle w:val="Normal"/>
        <w:widowControl/>
        <w:ind w:firstLine="720" w:end="0"/>
        <w:jc w:val="both"/>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widowControl/>
        <w:tabs>
          <w:tab w:val="clear" w:pos="720"/>
          <w:tab w:val="left" w:pos="2160" w:leader="none"/>
        </w:tabs>
        <w:ind w:hanging="720" w:start="2160" w:end="0"/>
        <w:jc w:val="both"/>
        <w:rPr>
          <w:sz w:val="24"/>
        </w:rPr>
      </w:pPr>
      <w:r>
        <w:rPr>
          <w:sz w:val="24"/>
        </w:rPr>
      </w:r>
    </w:p>
    <w:p>
      <w:pPr>
        <w:pStyle w:val="Normal"/>
        <w:widowControl/>
        <w:numPr>
          <w:ilvl w:val="0"/>
          <w:numId w:val="8"/>
        </w:numPr>
        <w:tabs>
          <w:tab w:val="clear" w:pos="720"/>
          <w:tab w:val="left" w:pos="2160" w:leader="none"/>
        </w:tabs>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widowControl/>
        <w:jc w:val="center"/>
        <w:rPr>
          <w:b/>
          <w:sz w:val="24"/>
        </w:rPr>
      </w:pPr>
      <w:r>
        <w:rPr>
          <w:b/>
          <w:sz w:val="24"/>
        </w:rPr>
      </w:r>
    </w:p>
    <w:p>
      <w:pPr>
        <w:pStyle w:val="Normal"/>
        <w:widowControl/>
        <w:ind w:firstLine="720" w:end="0"/>
        <w:jc w:val="both"/>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widowControl/>
        <w:ind w:firstLine="72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widowControl/>
        <w:ind w:start="144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14.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15.  MISCELLANEOUS CLAUSES</w:t>
      </w:r>
    </w:p>
    <w:p>
      <w:pPr>
        <w:pStyle w:val="Normal"/>
        <w:widowControl/>
        <w:jc w:val="both"/>
        <w:rPr>
          <w:b/>
          <w:sz w:val="24"/>
        </w:rPr>
      </w:pPr>
      <w:r>
        <w:rPr>
          <w:b/>
          <w:sz w:val="24"/>
        </w:rPr>
      </w:r>
    </w:p>
    <w:p>
      <w:pPr>
        <w:pStyle w:val="Normal"/>
        <w:widowControl/>
        <w:ind w:firstLine="720" w:end="0"/>
        <w:jc w:val="both"/>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widowControl/>
        <w:ind w:firstLine="720" w:end="0"/>
        <w:jc w:val="both"/>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widowControl/>
        <w:ind w:firstLine="720" w:end="0"/>
        <w:jc w:val="both"/>
        <w:rPr>
          <w:sz w:val="24"/>
        </w:rPr>
      </w:pPr>
      <w:r>
        <w:rPr>
          <w:sz w:val="24"/>
        </w:rPr>
      </w:r>
    </w:p>
    <w:p>
      <w:pPr>
        <w:pStyle w:val="Normal"/>
        <w:widowControl/>
        <w:ind w:firstLine="720" w:end="0"/>
        <w:jc w:val="both"/>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 xml:space="preserve">NBP ENERGY PIPELINES, L.L.C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SERVICE OPERATING SCHEDULE</w:t>
      </w:r>
    </w:p>
    <w:p>
      <w:pPr>
        <w:pStyle w:val="BodyTextIndent2"/>
        <w:widowControl/>
        <w:spacing w:before="0" w:after="240"/>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widowControl/>
        <w:ind w:hanging="0" w:start="0"/>
        <w:jc w:val="center"/>
        <w:rPr>
          <w:b/>
          <w:bCs/>
        </w:rPr>
      </w:pPr>
      <w:r>
        <w:rPr>
          <w:b/>
          <w:bCs/>
        </w:rPr>
        <w:t>I.  GAS SERVICES</w:t>
      </w:r>
    </w:p>
    <w:p>
      <w:pPr>
        <w:pStyle w:val="Normal"/>
        <w:jc w:val="center"/>
        <w:rPr>
          <w:b/>
          <w:bCs/>
        </w:rPr>
      </w:pPr>
      <w:r>
        <w:rPr>
          <w:b/>
          <w:bCs/>
        </w:rPr>
      </w:r>
    </w:p>
    <w:p>
      <w:pPr>
        <w:pStyle w:val="Normal"/>
        <w:rPr>
          <w:sz w:val="24"/>
        </w:rPr>
      </w:pPr>
      <w:r>
        <w:rPr>
          <w:sz w:val="24"/>
        </w:rPr>
        <w:t>1.1  GENERAL DESCRIPTION.</w:t>
      </w:r>
    </w:p>
    <w:p>
      <w:pPr>
        <w:pStyle w:val="Normal"/>
        <w:widowControl/>
        <w:jc w:val="both"/>
        <w:rPr>
          <w:sz w:val="24"/>
        </w:rPr>
      </w:pPr>
      <w:r>
        <w:rPr>
          <w:sz w:val="24"/>
        </w:rPr>
      </w:r>
    </w:p>
    <w:p>
      <w:pPr>
        <w:pStyle w:val="Heading2"/>
        <w:widowControl/>
        <w:ind w:firstLine="720" w:start="0" w:end="0"/>
        <w:jc w:val="both"/>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widowControl/>
        <w:jc w:val="both"/>
        <w:rPr>
          <w:b/>
          <w:sz w:val="24"/>
        </w:rPr>
      </w:pPr>
      <w:r>
        <w:rPr>
          <w:b/>
          <w:sz w:val="24"/>
        </w:rPr>
      </w:r>
    </w:p>
    <w:p>
      <w:pPr>
        <w:pStyle w:val="Normal"/>
        <w:widowControl/>
        <w:ind w:firstLine="720" w:end="0"/>
        <w:jc w:val="both"/>
        <w:rPr/>
      </w:pPr>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widowControl/>
        <w:jc w:val="both"/>
        <w:rPr>
          <w:sz w:val="24"/>
        </w:rPr>
      </w:pPr>
      <w:r>
        <w:rPr>
          <w:sz w:val="24"/>
        </w:rPr>
      </w:r>
    </w:p>
    <w:p>
      <w:pPr>
        <w:pStyle w:val="Heading1"/>
        <w:widowControl/>
        <w:numPr>
          <w:ilvl w:val="1"/>
          <w:numId w:val="7"/>
        </w:numPr>
        <w:jc w:val="both"/>
        <w:rPr/>
      </w:pPr>
      <w:r>
        <w:rPr/>
        <w:t xml:space="preserve">      </w:t>
      </w:r>
      <w:r>
        <w:rPr/>
        <w:t>QUANTITY</w:t>
      </w:r>
    </w:p>
    <w:p>
      <w:pPr>
        <w:pStyle w:val="Normal"/>
        <w:widowControl/>
        <w:jc w:val="both"/>
        <w:rPr>
          <w:b/>
          <w:i/>
          <w:i/>
          <w:sz w:val="24"/>
        </w:rPr>
      </w:pPr>
      <w:r>
        <w:rPr>
          <w:b/>
          <w:i/>
          <w:sz w:val="24"/>
        </w:rPr>
      </w:r>
    </w:p>
    <w:p>
      <w:pPr>
        <w:pStyle w:val="Heading2"/>
        <w:widowControl/>
        <w:ind w:firstLine="720" w:start="0" w:end="0"/>
        <w:jc w:val="both"/>
        <w:rPr>
          <w:b w:val="false"/>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a total quantity of gas not to exceed the Maximum Quantity and on an interruptible basis for quantities of gas in excess of the Maximum Quantity.  </w:t>
      </w:r>
    </w:p>
    <w:p>
      <w:pPr>
        <w:pStyle w:val="Normal"/>
        <w:widowControl/>
        <w:rPr>
          <w:b/>
          <w:sz w:val="24"/>
        </w:rPr>
      </w:pPr>
      <w:r>
        <w:rPr>
          <w:b/>
          <w:sz w:val="24"/>
        </w:rPr>
      </w:r>
    </w:p>
    <w:p>
      <w:pPr>
        <w:pStyle w:val="Heading1"/>
        <w:widowControl/>
        <w:numPr>
          <w:ilvl w:val="1"/>
          <w:numId w:val="7"/>
        </w:numPr>
        <w:jc w:val="both"/>
        <w:rPr/>
      </w:pPr>
      <w:r>
        <w:rPr/>
        <w:t xml:space="preserve">      </w:t>
      </w:r>
      <w:r>
        <w:rPr/>
        <w:t>RECEIPT POINTS &amp; DELIVERY POINTS</w:t>
      </w:r>
    </w:p>
    <w:p>
      <w:pPr>
        <w:pStyle w:val="Normal"/>
        <w:widowControl/>
        <w:jc w:val="both"/>
        <w:rPr>
          <w:sz w:val="24"/>
        </w:rPr>
      </w:pPr>
      <w:r>
        <w:rPr>
          <w:sz w:val="24"/>
        </w:rPr>
      </w:r>
    </w:p>
    <w:p>
      <w:pPr>
        <w:pStyle w:val="Heading2"/>
        <w:widowControl/>
        <w:ind w:firstLine="720" w:start="0" w:end="0"/>
        <w:jc w:val="both"/>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jc w:val="both"/>
        <w:rPr>
          <w:b/>
        </w:rPr>
      </w:pPr>
      <w:r>
        <w:rPr>
          <w:b/>
        </w:rPr>
      </w:r>
    </w:p>
    <w:p>
      <w:pPr>
        <w:pStyle w:val="Normal"/>
        <w:jc w:val="both"/>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jc w:val="both"/>
        <w:rPr>
          <w:sz w:val="24"/>
        </w:rPr>
      </w:pPr>
      <w:r>
        <w:rPr>
          <w:sz w:val="24"/>
        </w:rPr>
      </w:r>
    </w:p>
    <w:p>
      <w:pPr>
        <w:pStyle w:val="Normal"/>
        <w:jc w:val="both"/>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widowControl/>
        <w:rPr>
          <w:sz w:val="24"/>
        </w:rPr>
      </w:pPr>
      <w:r>
        <w:rPr>
          <w:sz w:val="24"/>
        </w:rPr>
      </w:r>
    </w:p>
    <w:p>
      <w:pPr>
        <w:pStyle w:val="Heading1"/>
        <w:widowControl/>
        <w:numPr>
          <w:ilvl w:val="1"/>
          <w:numId w:val="7"/>
        </w:numPr>
        <w:jc w:val="both"/>
        <w:rPr/>
      </w:pPr>
      <w:r>
        <w:rPr/>
        <w:t xml:space="preserve">       </w:t>
      </w:r>
      <w:r>
        <w:rPr/>
        <w:t>AUDIT RIGHTS</w:t>
      </w:r>
    </w:p>
    <w:p>
      <w:pPr>
        <w:pStyle w:val="Normal"/>
        <w:widowControl/>
        <w:rPr>
          <w:sz w:val="24"/>
        </w:rPr>
      </w:pPr>
      <w:r>
        <w:rPr>
          <w:sz w:val="24"/>
        </w:rPr>
      </w:r>
    </w:p>
    <w:p>
      <w:pPr>
        <w:pStyle w:val="Justified"/>
        <w:widowControl/>
        <w:spacing w:before="0" w:after="0"/>
        <w:rPr>
          <w:sz w:val="24"/>
        </w:rPr>
      </w:pPr>
      <w:r>
        <w:rPr>
          <w:sz w:val="24"/>
        </w:rPr>
        <w:t>The party not owning custody transfer measurement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ind w:hanging="0" w:start="0"/>
        <w:rPr>
          <w:sz w:val="24"/>
        </w:rPr>
      </w:pPr>
      <w:r>
        <w:rPr>
          <w:sz w:val="24"/>
        </w:rPr>
      </w:r>
    </w:p>
    <w:p>
      <w:pPr>
        <w:pStyle w:val="Heading4"/>
        <w:ind w:hanging="0" w:start="0"/>
        <w:rPr>
          <w:bCs/>
        </w:rPr>
      </w:pPr>
      <w:r>
        <w:rPr>
          <w:bCs/>
        </w:rPr>
        <w:t>II.  ADMINISTRATIVE SERVICES</w:t>
      </w:r>
    </w:p>
    <w:p>
      <w:pPr>
        <w:pStyle w:val="Heading1"/>
        <w:widowControl/>
        <w:tabs>
          <w:tab w:val="clear" w:pos="720"/>
          <w:tab w:val="left" w:pos="360" w:leader="none"/>
        </w:tabs>
        <w:ind w:hanging="0" w:start="0"/>
        <w:jc w:val="both"/>
        <w:rPr>
          <w:bCs/>
        </w:rPr>
      </w:pPr>
      <w:r>
        <w:rPr>
          <w:bCs/>
        </w:rPr>
      </w:r>
    </w:p>
    <w:p>
      <w:pPr>
        <w:pStyle w:val="Heading1"/>
        <w:widowControl/>
        <w:numPr>
          <w:ilvl w:val="1"/>
          <w:numId w:val="3"/>
        </w:numPr>
        <w:jc w:val="both"/>
        <w:rPr/>
      </w:pPr>
      <w:r>
        <w:rPr/>
        <w:t xml:space="preserve">      </w:t>
      </w:r>
      <w:r>
        <w:rPr/>
        <w:t>GENERAL DESCRIPTION.</w:t>
      </w:r>
    </w:p>
    <w:p>
      <w:pPr>
        <w:pStyle w:val="Heading1"/>
        <w:widowControl/>
        <w:ind w:hanging="0" w:start="0"/>
        <w:jc w:val="both"/>
        <w:rPr/>
      </w:pPr>
      <w:r>
        <w:rPr/>
      </w:r>
    </w:p>
    <w:p>
      <w:pPr>
        <w:pStyle w:val="Normal"/>
        <w:widowControl/>
        <w:ind w:firstLine="720" w:end="0"/>
        <w:jc w:val="both"/>
        <w:rPr/>
      </w:pPr>
      <w:r>
        <w:rPr>
          <w:sz w:val="24"/>
        </w:rPr>
        <w:t>Provider agrees to perform nomination, scheduling, allocation, balancing services and to provide gas services information all as more fully described below (“</w:t>
      </w:r>
      <w:r>
        <w:rPr>
          <w:sz w:val="24"/>
          <w:u w:val="single"/>
        </w:rPr>
        <w:t>Administrative Services</w:t>
      </w:r>
      <w:r>
        <w:rPr>
          <w:sz w:val="24"/>
        </w:rPr>
        <w:t xml:space="preserve">”)  in connection with the Gas Services provided hereunder. </w:t>
      </w:r>
    </w:p>
    <w:p>
      <w:pPr>
        <w:pStyle w:val="Normal"/>
        <w:widowControl/>
        <w:ind w:start="360" w:end="0"/>
        <w:jc w:val="both"/>
        <w:rPr>
          <w:sz w:val="24"/>
        </w:rPr>
      </w:pPr>
      <w:r>
        <w:rPr>
          <w:sz w:val="24"/>
        </w:rPr>
      </w:r>
    </w:p>
    <w:p>
      <w:pPr>
        <w:pStyle w:val="Normal"/>
        <w:widowControl/>
        <w:numPr>
          <w:ilvl w:val="1"/>
          <w:numId w:val="3"/>
        </w:numPr>
        <w:jc w:val="both"/>
        <w:rPr>
          <w:sz w:val="24"/>
        </w:rPr>
      </w:pPr>
      <w:r>
        <w:rPr>
          <w:sz w:val="24"/>
        </w:rPr>
        <w:t xml:space="preserve">      </w:t>
      </w:r>
      <w:r>
        <w:rPr>
          <w:sz w:val="24"/>
        </w:rPr>
        <w:t>NOMINATION AND SCHEDULING SERVICES</w:t>
      </w:r>
    </w:p>
    <w:p>
      <w:pPr>
        <w:pStyle w:val="Normal"/>
        <w:widowControl/>
        <w:jc w:val="both"/>
        <w:rPr>
          <w:sz w:val="24"/>
        </w:rPr>
      </w:pPr>
      <w:r>
        <w:rPr>
          <w:sz w:val="24"/>
        </w:rPr>
      </w:r>
    </w:p>
    <w:p>
      <w:pPr>
        <w:pStyle w:val="WW-BodyText2"/>
        <w:widowControl/>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xml:space="preserve">”).  Provider shall properly nominate and schedule gas in accordance with the nomination and scheduling procedures for each System and shall maintain records of such activities for  Customer.  </w:t>
      </w:r>
    </w:p>
    <w:p>
      <w:pPr>
        <w:pStyle w:val="Normal"/>
        <w:widowControl/>
        <w:jc w:val="both"/>
        <w:rPr>
          <w:sz w:val="24"/>
        </w:rPr>
      </w:pPr>
      <w:r>
        <w:rPr>
          <w:sz w:val="24"/>
        </w:rPr>
      </w:r>
    </w:p>
    <w:p>
      <w:pPr>
        <w:pStyle w:val="Normal"/>
        <w:widowControl/>
        <w:jc w:val="both"/>
        <w:rPr>
          <w:sz w:val="24"/>
        </w:rPr>
      </w:pPr>
      <w:r>
        <w:rPr>
          <w:sz w:val="24"/>
        </w:rPr>
        <w:t>2.3       BALANCING SERVICES</w:t>
      </w:r>
    </w:p>
    <w:p>
      <w:pPr>
        <w:pStyle w:val="Normal"/>
        <w:rPr>
          <w:sz w:val="24"/>
        </w:rPr>
      </w:pPr>
      <w:r>
        <w:rPr>
          <w:sz w:val="24"/>
        </w:rPr>
      </w:r>
    </w:p>
    <w:p>
      <w:pPr>
        <w:pStyle w:val="BodyTextIndent2"/>
        <w:rPr/>
      </w:pPr>
      <w:r>
        <w:rPr/>
        <w:t xml:space="preserve">Provider shall continuously monitor the gas volumes actually received and redelivered each month and shall notify Customer of any discrepancy between actual deliveries and Schedule Volumes.  Provider shall actively work with Customer to manage and minimize imbalances.  </w:t>
      </w:r>
    </w:p>
    <w:p>
      <w:pPr>
        <w:pStyle w:val="Normal"/>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2.4</w:t>
        <w:tab/>
        <w:t xml:space="preserve">ALLOCATIONS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Legal2"/>
        <w:widowControl/>
        <w:numPr>
          <w:ilvl w:val="1"/>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SERVICES INFORMATION</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Heading2"/>
        <w:ind w:firstLine="720" w:start="0" w:end="0"/>
        <w:jc w:val="both"/>
        <w:rPr>
          <w:b w:val="false"/>
          <w:bCs/>
          <w:u w:val="single"/>
        </w:rPr>
      </w:pPr>
      <w:r>
        <w:rPr>
          <w:b w:val="false"/>
          <w:bCs/>
        </w:rPr>
        <w:t>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gas flow information.  This information shall be provided whether or not Customer is utilizing Gas Services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sz w:val="24"/>
        </w:rPr>
      </w:pPr>
      <w:r>
        <w:rPr>
          <w:sz w:val="24"/>
        </w:rPr>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rPr>
          <w:b/>
          <w:sz w:val="24"/>
        </w:rPr>
      </w:pPr>
      <w:r>
        <w:rPr>
          <w:b/>
          <w:sz w:val="24"/>
        </w:rPr>
        <w:t xml:space="preserve">RECEIPT POINTS: </w:t>
      </w:r>
    </w:p>
    <w:p>
      <w:pPr>
        <w:pStyle w:val="Normal"/>
        <w:widowControl/>
        <w:rPr>
          <w:b/>
          <w:sz w:val="24"/>
        </w:rPr>
      </w:pPr>
      <w:r>
        <w:rPr>
          <w:b/>
          <w:sz w:val="24"/>
        </w:rPr>
      </w:r>
    </w:p>
    <w:p>
      <w:pPr>
        <w:pStyle w:val="Normal"/>
        <w:widowControl/>
        <w:numPr>
          <w:ilvl w:val="0"/>
          <w:numId w:val="5"/>
        </w:numPr>
        <w:rPr>
          <w:bCs/>
          <w:sz w:val="24"/>
        </w:rPr>
      </w:pPr>
      <w:r>
        <w:rPr>
          <w:bCs/>
          <w:sz w:val="24"/>
        </w:rPr>
        <w:t>All Points in the Madden Field, Fremont County Wyoming.</w:t>
      </w:r>
    </w:p>
    <w:p>
      <w:pPr>
        <w:pStyle w:val="Normal"/>
        <w:widowControl/>
        <w:numPr>
          <w:ilvl w:val="0"/>
          <w:numId w:val="5"/>
        </w:numPr>
        <w:rPr>
          <w:bCs/>
          <w:sz w:val="24"/>
        </w:rPr>
      </w:pPr>
      <w:r>
        <w:rPr>
          <w:bCs/>
          <w:sz w:val="24"/>
        </w:rPr>
        <w:t>Billy Creek Y, Campbell County, Wyoming.</w:t>
      </w:r>
    </w:p>
    <w:p>
      <w:pPr>
        <w:pStyle w:val="Normal"/>
        <w:widowControl/>
        <w:numPr>
          <w:ilvl w:val="0"/>
          <w:numId w:val="5"/>
        </w:numPr>
        <w:rPr>
          <w:bCs/>
          <w:sz w:val="24"/>
        </w:rPr>
      </w:pPr>
      <w:r>
        <w:rPr>
          <w:bCs/>
          <w:sz w:val="24"/>
        </w:rPr>
        <w:t>All Points in the Powder River Basin, Campbell and Converse Counties, Wyoming and ________ Counties in Montana.</w:t>
      </w:r>
    </w:p>
    <w:p>
      <w:pPr>
        <w:pStyle w:val="Normal"/>
        <w:widowControl/>
        <w:rPr>
          <w:b/>
          <w:bCs/>
          <w:sz w:val="24"/>
        </w:rPr>
      </w:pPr>
      <w:r>
        <w:rPr>
          <w:b/>
          <w:bCs/>
          <w:sz w:val="24"/>
        </w:rPr>
      </w:r>
    </w:p>
    <w:p>
      <w:pPr>
        <w:pStyle w:val="Normal"/>
        <w:widowControl/>
        <w:rPr>
          <w:b/>
          <w:sz w:val="24"/>
        </w:rPr>
      </w:pPr>
      <w:r>
        <w:rPr>
          <w:b/>
          <w:sz w:val="24"/>
        </w:rPr>
        <w:t xml:space="preserve">DELIVERY POINTS: </w:t>
      </w:r>
    </w:p>
    <w:p>
      <w:pPr>
        <w:pStyle w:val="Normal"/>
        <w:widowControl/>
        <w:rPr>
          <w:b/>
          <w:sz w:val="24"/>
        </w:rPr>
      </w:pPr>
      <w:r>
        <w:rPr>
          <w:b/>
          <w:sz w:val="24"/>
        </w:rPr>
      </w:r>
    </w:p>
    <w:p>
      <w:pPr>
        <w:pStyle w:val="Normal"/>
        <w:widowControl/>
        <w:numPr>
          <w:ilvl w:val="0"/>
          <w:numId w:val="2"/>
        </w:numPr>
        <w:rPr>
          <w:bCs/>
          <w:sz w:val="24"/>
        </w:rPr>
      </w:pPr>
      <w:r>
        <w:rPr>
          <w:bCs/>
          <w:sz w:val="24"/>
        </w:rPr>
        <w:t>Interconnects with the Wyoming Interstate Company’s Pipeline in Sweetwater County, Wyoming.</w:t>
      </w:r>
    </w:p>
    <w:p>
      <w:pPr>
        <w:pStyle w:val="Normal"/>
        <w:widowControl/>
        <w:numPr>
          <w:ilvl w:val="0"/>
          <w:numId w:val="2"/>
        </w:numPr>
        <w:rPr>
          <w:bCs/>
          <w:sz w:val="24"/>
        </w:rPr>
      </w:pPr>
      <w:r>
        <w:rPr>
          <w:bCs/>
          <w:sz w:val="24"/>
        </w:rPr>
        <w:t>Interconnects with Colorado Interstate Gas Company’s Pipeline in Sweetwater County, Wyoming.</w:t>
      </w:r>
    </w:p>
    <w:p>
      <w:pPr>
        <w:pStyle w:val="Normal"/>
        <w:widowControl/>
        <w:numPr>
          <w:ilvl w:val="0"/>
          <w:numId w:val="2"/>
        </w:numPr>
        <w:rPr>
          <w:bCs/>
          <w:sz w:val="24"/>
        </w:rPr>
      </w:pPr>
      <w:r>
        <w:rPr>
          <w:bCs/>
          <w:sz w:val="24"/>
        </w:rPr>
        <w:t>Interconnects with KMI (correct name) in Sweetwater County, Wyoming.</w:t>
      </w:r>
    </w:p>
    <w:p>
      <w:pPr>
        <w:pStyle w:val="Normal"/>
        <w:widowControl/>
        <w:numPr>
          <w:ilvl w:val="0"/>
          <w:numId w:val="2"/>
        </w:numPr>
        <w:rPr>
          <w:bCs/>
          <w:sz w:val="24"/>
        </w:rPr>
      </w:pPr>
      <w:r>
        <w:rPr>
          <w:bCs/>
          <w:sz w:val="24"/>
        </w:rPr>
        <w:t>Interconnects with the Wyoming Interstate Company’s Pipeline in Converse County, Wyoming.</w:t>
      </w:r>
    </w:p>
    <w:p>
      <w:pPr>
        <w:pStyle w:val="Normal"/>
        <w:widowControl/>
        <w:numPr>
          <w:ilvl w:val="0"/>
          <w:numId w:val="2"/>
        </w:numPr>
        <w:rPr>
          <w:bCs/>
          <w:sz w:val="24"/>
        </w:rPr>
      </w:pPr>
      <w:r>
        <w:rPr>
          <w:bCs/>
          <w:sz w:val="24"/>
        </w:rPr>
        <w:t>Interconnects with Colorado Interstate Gas Company’s Pipeline in Converse County, Wyoming.</w:t>
      </w:r>
    </w:p>
    <w:p>
      <w:pPr>
        <w:pStyle w:val="Normal"/>
        <w:widowControl/>
        <w:numPr>
          <w:ilvl w:val="0"/>
          <w:numId w:val="2"/>
        </w:numPr>
        <w:rPr>
          <w:bCs/>
          <w:sz w:val="24"/>
        </w:rPr>
      </w:pPr>
      <w:r>
        <w:rPr>
          <w:bCs/>
          <w:sz w:val="24"/>
        </w:rPr>
        <w:t>Interconnects with KMI (correct name) in Converse County, Wyoming.</w:t>
      </w:r>
      <w:r>
        <w:br w:type="page"/>
      </w:r>
    </w:p>
    <w:p>
      <w:pPr>
        <w:pStyle w:val="Heading2"/>
        <w:widowControl/>
        <w:ind w:hanging="0" w:start="0"/>
        <w:jc w:val="center"/>
        <w:rPr/>
      </w:pPr>
      <w:r>
        <w:rPr/>
        <w:t>EXHIBIT B</w:t>
      </w:r>
    </w:p>
    <w:p>
      <w:pPr>
        <w:pStyle w:val="Normal"/>
        <w:rPr/>
      </w:pPr>
      <w:r>
        <w:rPr/>
      </w:r>
    </w:p>
    <w:p>
      <w:pPr>
        <w:pStyle w:val="Normal"/>
        <w:widowControl/>
        <w:jc w:val="center"/>
        <w:rPr>
          <w:bCs/>
        </w:rPr>
      </w:pPr>
      <w:r>
        <w:rPr>
          <w:bCs/>
        </w:rPr>
        <w:t>FORM OF</w:t>
      </w:r>
    </w:p>
    <w:p>
      <w:pPr>
        <w:pStyle w:val="Normal"/>
        <w:jc w:val="center"/>
        <w:rPr/>
      </w:pPr>
      <w:r>
        <w:rPr/>
        <w:t>SERVICE SCHEDULE</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Cs/>
        </w:rPr>
      </w:pPr>
      <w:r>
        <w:rPr>
          <w:b/>
          <w:iCs/>
        </w:rPr>
        <w:t>Re:</w:t>
        <w:tab/>
        <w:t>Master Services Agreement</w:t>
      </w:r>
    </w:p>
    <w:p>
      <w:pPr>
        <w:pStyle w:val="Normal"/>
        <w:tabs>
          <w:tab w:val="left" w:pos="720" w:leader="none"/>
        </w:tabs>
        <w:ind w:hanging="720" w:start="720" w:end="0"/>
        <w:rPr>
          <w:b/>
          <w:iCs/>
        </w:rPr>
      </w:pPr>
      <w:r>
        <w:rPr>
          <w:b/>
          <w:iCs/>
        </w:rPr>
        <w:tab/>
        <w:t>Dated [____________]</w:t>
      </w:r>
    </w:p>
    <w:p>
      <w:pPr>
        <w:pStyle w:val="Normal"/>
        <w:ind w:hanging="2970" w:start="3690" w:end="0"/>
        <w:rPr>
          <w:b/>
          <w:iCs/>
        </w:rPr>
      </w:pPr>
      <w:r>
        <w:rPr>
          <w:b/>
          <w:iCs/>
        </w:rPr>
        <w:t>Service Schedule "[___, SEQUENTIAL LETTER OR NUMBER USED TO SEPARATELY IDENTIFY SERVICE SCHEDULES]"</w:t>
      </w:r>
    </w:p>
    <w:p>
      <w:pPr>
        <w:pStyle w:val="Normal"/>
        <w:rPr>
          <w:b/>
          <w:iCs/>
        </w:rPr>
      </w:pPr>
      <w:r>
        <w:rPr>
          <w:b/>
          <w:iCs/>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SERVICE SCHEDULE THROUGH TERMINATION DATE]</w:t>
            </w:r>
            <w:r>
              <w:rPr/>
              <w: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$0.__per MMBtu.</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MMBtu per day.</w:t>
            </w:r>
          </w:p>
          <w:p>
            <w:pPr>
              <w:pStyle w:val="Normal"/>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Service Schedule shall govern Gas Services during the Term as specified above and from the Receipt Points to the Delivery Points listed above.  </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widowControl/>
        <w:jc w:val="center"/>
        <w:rPr>
          <w:b/>
          <w:sz w:val="24"/>
        </w:rPr>
      </w:pPr>
      <w:r>
        <w:rPr>
          <w:b/>
          <w:sz w:val="24"/>
        </w:rPr>
      </w:r>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360"/>
        </w:tabs>
        <w:ind w:start="360" w:hanging="360"/>
      </w:pPr>
    </w:lvl>
    <w:lvl w:ilvl="1">
      <w:start w:val="1"/>
      <w:isLgl/>
      <w:numFmt w:val="decimal"/>
      <w:lvlText w:val="%1.%2"/>
      <w:lvlJc w:val="start"/>
      <w:pPr>
        <w:tabs>
          <w:tab w:val="num" w:pos="360"/>
        </w:tabs>
        <w:ind w:start="360" w:hanging="360"/>
      </w:pPr>
      <w:rPr/>
    </w:lvl>
    <w:lvl w:ilvl="2">
      <w:start w:val="1"/>
      <w:isLgl/>
      <w:numFmt w:val="upperLetter"/>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2000-08-26T13:50:00Z</dcterms:created>
  <dc:creator>ECT</dc:creator>
  <dc:description/>
  <dc:language>en-CA</dc:language>
  <cp:lastModifiedBy>sdaniel</cp:lastModifiedBy>
  <cp:lastPrinted>2000-08-26T15:05:00Z</cp:lastPrinted>
  <dcterms:modified xsi:type="dcterms:W3CDTF">2000-08-26T18:47:00Z</dcterms:modified>
  <cp:revision>17</cp:revision>
  <dc:subject/>
  <dc:title>COMPRESSION MANAGEMENT AGREEMENT</dc:title>
</cp:coreProperties>
</file>