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Master Product Data Spreadsheet</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The ‘Master Product Data’ spreadsheet (MPD) is a spreadsheet which contains all the fields to be uploaded to the online database required to generate both short and long descriptions.</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Descriptions work as follows:</w:t>
      </w:r>
    </w:p>
    <w:p>
      <w:pPr>
        <w:pStyle w:val="Normal"/>
        <w:rPr>
          <w:rFonts w:ascii="Comic Sans MS" w:hAnsi="Comic Sans MS" w:cs="Comic Sans MS"/>
          <w:lang w:val="en-US"/>
        </w:rPr>
      </w:pPr>
      <w:r>
        <w:rPr>
          <w:rFonts w:cs="Comic Sans MS" w:ascii="Comic Sans MS" w:hAnsi="Comic Sans MS"/>
          <w:lang w:val="en-US"/>
        </w:rPr>
        <w:t>A product description consists of two parts i)Product Type; ii)Product Additional Information (PAI).</w:t>
      </w:r>
    </w:p>
    <w:p>
      <w:pPr>
        <w:pStyle w:val="Normal"/>
        <w:rPr>
          <w:rFonts w:ascii="Comic Sans MS" w:hAnsi="Comic Sans MS" w:cs="Comic Sans MS"/>
          <w:lang w:val="en-US"/>
        </w:rPr>
      </w:pPr>
      <w:r>
        <w:rPr>
          <w:rFonts w:cs="Comic Sans MS" w:ascii="Comic Sans MS" w:hAnsi="Comic Sans MS"/>
          <w:lang w:val="en-US"/>
        </w:rPr>
        <w:t>The Product Type is the level to which GTCs, Masters,Legal Entities and Authorised traders is consolidated.</w:t>
      </w:r>
    </w:p>
    <w:p>
      <w:pPr>
        <w:pStyle w:val="Normal"/>
        <w:rPr>
          <w:rFonts w:ascii="Comic Sans MS" w:hAnsi="Comic Sans MS" w:cs="Comic Sans MS"/>
          <w:lang w:val="en-US"/>
        </w:rPr>
      </w:pPr>
      <w:r>
        <w:rPr>
          <w:rFonts w:cs="Comic Sans MS" w:ascii="Comic Sans MS" w:hAnsi="Comic Sans MS"/>
          <w:lang w:val="en-US"/>
        </w:rPr>
        <w:t>Product Types consist of the following fields: Country, Commodity, Deal Category, Deal Type, Firmness.</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 xml:space="preserve">For each Product Type there is a part of the short description manually generated, for example: US Gas FIN Swap. </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 xml:space="preserve">For each Product Type there is a set text which is part of the long description, for example: </w:t>
      </w:r>
    </w:p>
    <w:p>
      <w:pPr>
        <w:pStyle w:val="Normal"/>
        <w:rPr>
          <w:rFonts w:ascii="Comic Sans MS" w:hAnsi="Comic Sans MS" w:cs="Comic Sans MS"/>
          <w:lang w:val="en-US"/>
        </w:rPr>
      </w:pPr>
      <w:r>
        <w:rPr>
          <w:rFonts w:cs="Comic Sans MS" w:ascii="Comic Sans MS" w:hAnsi="Comic Sans MS"/>
          <w:lang w:val="en-US"/>
        </w:rPr>
        <w:t>“</w:t>
      </w:r>
      <w:r>
        <w:rPr>
          <w:rFonts w:cs="Comic Sans MS" w:ascii="Comic Sans MS" w:hAnsi="Comic Sans MS"/>
          <w:lang w:val="en-US"/>
        </w:rPr>
        <w:t>A Transaction under which one Party pays a Floating Price and the other Party pays a Fixed Price in respect of the Notional Quantity. The Transaction shall be arranged by Enron Capital &amp; Trade Resources ("Enron").”</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 xml:space="preserve">Each Product Type has a defined set of PAI that is required to be selected to create a product. </w:t>
      </w:r>
    </w:p>
    <w:p>
      <w:pPr>
        <w:pStyle w:val="Normal"/>
        <w:rPr/>
      </w:pPr>
      <w:r>
        <w:rPr>
          <w:rFonts w:cs="Comic Sans MS" w:ascii="Comic Sans MS" w:hAnsi="Comic Sans MS"/>
          <w:lang w:val="en-US"/>
        </w:rPr>
        <w:t>For example: Product Type “US Gas FIN Swap” has the following PAI required fields –</w:t>
      </w:r>
      <w:r>
        <w:rPr>
          <w:rFonts w:cs="Comic Sans MS" w:ascii="Comic Sans MS" w:hAnsi="Comic Sans MS"/>
          <w:color w:val="000000"/>
          <w:lang w:eastAsia="en-US"/>
        </w:rPr>
        <w:t xml:space="preserve"> ‘Reference Period, Index, Currency, Volume’.</w:t>
      </w:r>
    </w:p>
    <w:p>
      <w:pPr>
        <w:pStyle w:val="Normal"/>
        <w:rPr>
          <w:rFonts w:ascii="Comic Sans MS" w:hAnsi="Comic Sans MS" w:cs="Comic Sans MS"/>
          <w:color w:val="000000"/>
          <w:lang w:eastAsia="en-US"/>
        </w:rPr>
      </w:pPr>
      <w:r>
        <w:rPr>
          <w:rFonts w:cs="Comic Sans MS" w:ascii="Comic Sans MS" w:hAnsi="Comic Sans MS"/>
          <w:color w:val="000000"/>
          <w:lang w:eastAsia="en-US"/>
        </w:rPr>
      </w:r>
    </w:p>
    <w:p>
      <w:pPr>
        <w:pStyle w:val="Normal"/>
        <w:rPr>
          <w:rFonts w:ascii="Comic Sans MS" w:hAnsi="Comic Sans MS" w:cs="Comic Sans MS"/>
          <w:color w:val="000000"/>
          <w:lang w:eastAsia="en-US"/>
        </w:rPr>
      </w:pPr>
      <w:r>
        <w:rPr>
          <w:rFonts w:cs="Comic Sans MS" w:ascii="Comic Sans MS" w:hAnsi="Comic Sans MS"/>
          <w:color w:val="000000"/>
          <w:lang w:eastAsia="en-US"/>
        </w:rPr>
        <w:t>Each field in the PAI has an associated abbreviation that will be used in the short description and a sentence(or group of sentences) that will be added to the long description. Abbreviations are used to generate the remainder of the short description.</w:t>
      </w:r>
    </w:p>
    <w:p>
      <w:pPr>
        <w:pStyle w:val="Normal"/>
        <w:rPr>
          <w:rFonts w:ascii="Comic Sans MS" w:hAnsi="Comic Sans MS" w:cs="Comic Sans MS"/>
          <w:color w:val="000000"/>
          <w:lang w:eastAsia="en-US"/>
        </w:rPr>
      </w:pPr>
      <w:r>
        <w:rPr>
          <w:rFonts w:cs="Comic Sans MS" w:ascii="Comic Sans MS" w:hAnsi="Comic Sans MS"/>
          <w:color w:val="000000"/>
          <w:lang w:eastAsia="en-US"/>
        </w:rPr>
        <w:t>For Example:</w:t>
      </w:r>
    </w:p>
    <w:p>
      <w:pPr>
        <w:pStyle w:val="Heading2"/>
        <w:ind w:hanging="0" w:start="0"/>
        <w:rPr>
          <w:rFonts w:ascii="Comic Sans MS" w:hAnsi="Comic Sans MS" w:cs="Comic Sans MS"/>
          <w:lang w:val="en-US"/>
        </w:rPr>
      </w:pPr>
      <w:r>
        <w:rPr>
          <w:rFonts w:cs="Comic Sans MS" w:ascii="Comic Sans MS" w:hAnsi="Comic Sans MS"/>
        </w:rPr>
        <w:t>Short Descriptions (These are the quote descriptions online)</w:t>
      </w:r>
    </w:p>
    <w:p>
      <w:pPr>
        <w:pStyle w:val="Normal"/>
        <w:rPr>
          <w:rFonts w:ascii="Comic Sans MS" w:hAnsi="Comic Sans MS" w:cs="Comic Sans MS"/>
          <w:lang w:val="en-US"/>
        </w:rPr>
      </w:pPr>
      <w:r>
        <w:rPr>
          <w:rFonts w:cs="Comic Sans MS" w:ascii="Comic Sans MS" w:hAnsi="Comic Sans MS"/>
          <w:lang w:val="en-US"/>
        </w:rPr>
        <w:t>Reference Period - 01Jan99 to 31Jan99 would abbreviate to ‘Jan99’</w:t>
      </w:r>
    </w:p>
    <w:p>
      <w:pPr>
        <w:pStyle w:val="Normal"/>
        <w:rPr>
          <w:rFonts w:ascii="Comic Sans MS" w:hAnsi="Comic Sans MS" w:cs="Comic Sans MS"/>
          <w:lang w:val="en-US"/>
        </w:rPr>
      </w:pPr>
      <w:r>
        <w:rPr>
          <w:rFonts w:cs="Comic Sans MS" w:ascii="Comic Sans MS" w:hAnsi="Comic Sans MS"/>
          <w:lang w:val="en-US"/>
        </w:rPr>
        <w:t>Index – Inside Ferc would abbreviate to ‘iFerc’</w:t>
      </w:r>
    </w:p>
    <w:p>
      <w:pPr>
        <w:pStyle w:val="Normal"/>
        <w:rPr>
          <w:rFonts w:ascii="Comic Sans MS" w:hAnsi="Comic Sans MS" w:cs="Comic Sans MS"/>
          <w:lang w:val="en-US"/>
        </w:rPr>
      </w:pPr>
      <w:r>
        <w:rPr>
          <w:rFonts w:cs="Comic Sans MS" w:ascii="Comic Sans MS" w:hAnsi="Comic Sans MS"/>
          <w:lang w:val="en-US"/>
        </w:rPr>
        <w:t>Currency – US Dollars would abbreviate to USD</w:t>
      </w:r>
    </w:p>
    <w:p>
      <w:pPr>
        <w:pStyle w:val="Normal"/>
        <w:rPr>
          <w:rFonts w:ascii="Comic Sans MS" w:hAnsi="Comic Sans MS" w:cs="Comic Sans MS"/>
          <w:lang w:val="en-US"/>
        </w:rPr>
      </w:pPr>
      <w:r>
        <w:rPr>
          <w:rFonts w:cs="Comic Sans MS" w:ascii="Comic Sans MS" w:hAnsi="Comic Sans MS"/>
          <w:lang w:val="en-US"/>
        </w:rPr>
        <w:t>Volume – MMBtu would abbreviate to MMBtu</w:t>
      </w:r>
    </w:p>
    <w:p>
      <w:pPr>
        <w:pStyle w:val="Normal"/>
        <w:rPr>
          <w:rFonts w:ascii="Comic Sans MS" w:hAnsi="Comic Sans MS" w:cs="Comic Sans MS"/>
          <w:lang w:val="en-US"/>
        </w:rPr>
      </w:pPr>
      <w:r>
        <w:rPr>
          <w:rFonts w:cs="Comic Sans MS" w:ascii="Comic Sans MS" w:hAnsi="Comic Sans MS"/>
          <w:lang w:val="en-US"/>
        </w:rPr>
        <w:t>Long Descriptions</w:t>
      </w:r>
    </w:p>
    <w:p>
      <w:pPr>
        <w:pStyle w:val="Normal"/>
        <w:rPr>
          <w:rFonts w:ascii="Comic Sans MS" w:hAnsi="Comic Sans MS" w:cs="Comic Sans MS"/>
          <w:lang w:val="en-US"/>
        </w:rPr>
      </w:pPr>
      <w:r>
        <w:rPr>
          <w:rFonts w:cs="Comic Sans MS" w:ascii="Comic Sans MS" w:hAnsi="Comic Sans MS"/>
          <w:lang w:val="en-US"/>
        </w:rPr>
        <w:t>Reference Period – “The term of the Transaction shall be from the start date to the end date. The start date is 01 January 1999. The end date is 31 January 1999.”</w:t>
      </w:r>
    </w:p>
    <w:p>
      <w:pPr>
        <w:pStyle w:val="Normal"/>
        <w:rPr>
          <w:rFonts w:ascii="Comic Sans MS" w:hAnsi="Comic Sans MS" w:cs="Comic Sans MS"/>
          <w:lang w:val="en-US"/>
        </w:rPr>
      </w:pPr>
      <w:r>
        <w:rPr>
          <w:rFonts w:cs="Comic Sans MS" w:ascii="Comic Sans MS" w:hAnsi="Comic Sans MS"/>
          <w:lang w:val="en-US"/>
        </w:rPr>
        <w:t>Index – “The index used for this transaction is the Prices of Spot Gas Delivered to Pipelines section located in the first issue of Inside F.E.R.C.'s Gas Market Report.” Currency – “The price is quoted in US Dollars per unit of volume.”</w:t>
      </w:r>
    </w:p>
    <w:p>
      <w:pPr>
        <w:pStyle w:val="Normal"/>
        <w:rPr>
          <w:rFonts w:ascii="Comic Sans MS" w:hAnsi="Comic Sans MS" w:cs="Comic Sans MS"/>
          <w:lang w:val="en-US"/>
        </w:rPr>
      </w:pPr>
      <w:r>
        <w:rPr>
          <w:rFonts w:cs="Comic Sans MS" w:ascii="Comic Sans MS" w:hAnsi="Comic Sans MS"/>
          <w:lang w:val="en-US"/>
        </w:rPr>
        <w:t>Volume – “The unit of measure for which the price is quoted against is in millions of British thermal units.”</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Therefore, adding the Product Type and PAI together we have the following:</w:t>
      </w:r>
    </w:p>
    <w:p>
      <w:pPr>
        <w:pStyle w:val="Heading3"/>
        <w:ind w:hanging="0" w:start="0"/>
        <w:rPr/>
      </w:pPr>
      <w:r>
        <w:rPr/>
        <w:t>Short Description</w:t>
      </w:r>
    </w:p>
    <w:p>
      <w:pPr>
        <w:pStyle w:val="Normal"/>
        <w:rPr>
          <w:rFonts w:ascii="Comic Sans MS" w:hAnsi="Comic Sans MS" w:cs="Comic Sans MS"/>
          <w:lang w:val="en-US"/>
        </w:rPr>
      </w:pPr>
      <w:r>
        <w:rPr>
          <w:rFonts w:cs="Comic Sans MS" w:ascii="Comic Sans MS" w:hAnsi="Comic Sans MS"/>
          <w:lang w:val="en-US"/>
        </w:rPr>
        <w:t>US Gas FIN Swap</w:t>
        <w:tab/>
        <w:t>Jan99 iFerc USD/MMBtu</w:t>
      </w:r>
    </w:p>
    <w:p>
      <w:pPr>
        <w:pStyle w:val="Heading3"/>
        <w:ind w:hanging="0" w:start="0"/>
        <w:rPr/>
      </w:pPr>
      <w:r>
        <w:rPr/>
        <w:t>Long Description</w:t>
      </w:r>
    </w:p>
    <w:p>
      <w:pPr>
        <w:pStyle w:val="Normal"/>
        <w:rPr>
          <w:rFonts w:ascii="Comic Sans MS" w:hAnsi="Comic Sans MS" w:cs="Comic Sans MS"/>
          <w:lang w:val="en-US"/>
        </w:rPr>
      </w:pPr>
      <w:r>
        <w:rPr>
          <w:rFonts w:cs="Comic Sans MS" w:ascii="Comic Sans MS" w:hAnsi="Comic Sans MS"/>
          <w:lang w:val="en-US"/>
        </w:rPr>
        <w:t>“</w:t>
      </w:r>
      <w:r>
        <w:rPr>
          <w:rFonts w:cs="Comic Sans MS" w:ascii="Comic Sans MS" w:hAnsi="Comic Sans MS"/>
          <w:lang w:val="en-US"/>
        </w:rPr>
        <w:t xml:space="preserve">A Transaction under which one Party pays a Floating Price and the other Party pays a Fixed Price in respect of the Notional Quantity. The Transaction shall be arranged by Enron Capital &amp; Trade Resources ("Enron"). </w:t>
      </w:r>
    </w:p>
    <w:p>
      <w:pPr>
        <w:pStyle w:val="Normal"/>
        <w:rPr>
          <w:rFonts w:ascii="Comic Sans MS" w:hAnsi="Comic Sans MS" w:cs="Comic Sans MS"/>
          <w:lang w:val="en-US"/>
        </w:rPr>
      </w:pPr>
      <w:r>
        <w:rPr>
          <w:rFonts w:cs="Comic Sans MS" w:ascii="Comic Sans MS" w:hAnsi="Comic Sans MS"/>
          <w:lang w:val="en-US"/>
        </w:rPr>
        <w:t>The term of the Transaction shall be from the start date to the end date. The start date is 01 January 1999. The end date is 31 January 1999.</w:t>
      </w:r>
    </w:p>
    <w:p>
      <w:pPr>
        <w:pStyle w:val="Normal"/>
        <w:rPr>
          <w:rFonts w:ascii="Comic Sans MS" w:hAnsi="Comic Sans MS" w:cs="Comic Sans MS"/>
          <w:lang w:val="en-US"/>
        </w:rPr>
      </w:pPr>
      <w:r>
        <w:rPr>
          <w:rFonts w:cs="Comic Sans MS" w:ascii="Comic Sans MS" w:hAnsi="Comic Sans MS"/>
          <w:lang w:val="en-US"/>
        </w:rPr>
        <w:t>The index used for this transaction is the Prices of Spot Gas Delivered to Pipelines section located in the first issue of Inside F.E.R.C.'s Gas Market Report.</w:t>
      </w:r>
    </w:p>
    <w:p>
      <w:pPr>
        <w:pStyle w:val="Normal"/>
        <w:rPr>
          <w:rFonts w:ascii="Comic Sans MS" w:hAnsi="Comic Sans MS" w:cs="Comic Sans MS"/>
          <w:lang w:val="en-US"/>
        </w:rPr>
      </w:pPr>
      <w:r>
        <w:rPr>
          <w:rFonts w:cs="Comic Sans MS" w:ascii="Comic Sans MS" w:hAnsi="Comic Sans MS"/>
          <w:lang w:val="en-US"/>
        </w:rPr>
        <w:t>The price is quoted in US Dollars per unit of volume.</w:t>
      </w:r>
    </w:p>
    <w:p>
      <w:pPr>
        <w:pStyle w:val="Normal"/>
        <w:rPr>
          <w:rFonts w:ascii="Comic Sans MS" w:hAnsi="Comic Sans MS" w:cs="Comic Sans MS"/>
          <w:lang w:val="en-US"/>
        </w:rPr>
      </w:pPr>
      <w:r>
        <w:rPr>
          <w:rFonts w:cs="Comic Sans MS" w:ascii="Comic Sans MS" w:hAnsi="Comic Sans MS"/>
          <w:lang w:val="en-US"/>
        </w:rPr>
        <w:t>The unit of measure for which the price is quoted against is in millions of British thermal units.”</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A spreadsheet has been created to load all these fields into the online database called ‘Master Products Data’. The spreadsheet also defines the required PAI fields for each Product Type.</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The spreadsheet works as follows:</w:t>
      </w:r>
    </w:p>
    <w:p>
      <w:pPr>
        <w:pStyle w:val="Normal"/>
        <w:rPr>
          <w:rFonts w:ascii="Comic Sans MS" w:hAnsi="Comic Sans MS" w:cs="Comic Sans MS"/>
          <w:lang w:val="en-US"/>
        </w:rPr>
      </w:pPr>
      <w:r>
        <w:rPr>
          <w:rFonts w:cs="Comic Sans MS" w:ascii="Comic Sans MS" w:hAnsi="Comic Sans MS"/>
          <w:lang w:val="en-US"/>
        </w:rPr>
        <w:t>The first tab [LongDesc] contains a full list of Product Types and the long description sentence that goes with that Product Type.</w:t>
      </w:r>
    </w:p>
    <w:p>
      <w:pPr>
        <w:pStyle w:val="BodyText"/>
        <w:rPr/>
      </w:pPr>
      <w:r>
        <w:rPr/>
        <w:t>This tab needs legal review of the long descriptions.</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The second tab [ShortDesc] contains the same list of Product Types as [LongDesc] and the short description that goes with that Product Type. This will not be longer than 26 characters.</w:t>
      </w:r>
    </w:p>
    <w:p>
      <w:pPr>
        <w:pStyle w:val="Normal"/>
        <w:rPr>
          <w:rFonts w:ascii="Comic Sans MS" w:hAnsi="Comic Sans MS" w:cs="Comic Sans MS"/>
          <w:lang w:val="en-US"/>
        </w:rPr>
      </w:pPr>
      <w:r>
        <w:rPr>
          <w:rFonts w:cs="Comic Sans MS" w:ascii="Comic Sans MS" w:hAnsi="Comic Sans MS"/>
          <w:lang w:val="en-US"/>
        </w:rPr>
        <w:t>It also contains a list of the required fields for the PAI. (see column D under Product Additional Information) for each Product Type.</w:t>
      </w:r>
    </w:p>
    <w:p>
      <w:pPr>
        <w:pStyle w:val="Normal"/>
        <w:rPr>
          <w:rFonts w:ascii="Comic Sans MS" w:hAnsi="Comic Sans MS" w:cs="Comic Sans MS"/>
          <w:lang w:val="en-US"/>
        </w:rPr>
      </w:pPr>
      <w:r>
        <w:rPr>
          <w:rFonts w:cs="Comic Sans MS" w:ascii="Comic Sans MS" w:hAnsi="Comic Sans MS"/>
          <w:lang w:val="en-US"/>
        </w:rPr>
        <w:t>Note: The examples in column E are only rough as these will be generate by the rules mentioned above.</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The order of both the abbreviations for the short descriptions and the sentences for the long descriptions is set according to the following order:</w:t>
      </w:r>
    </w:p>
    <w:p>
      <w:pPr>
        <w:pStyle w:val="Normal"/>
        <w:rPr>
          <w:rFonts w:ascii="Comic Sans MS" w:hAnsi="Comic Sans MS" w:cs="Comic Sans MS"/>
          <w:lang w:val="en-US"/>
        </w:rPr>
      </w:pPr>
      <w:r>
        <w:rPr>
          <w:rFonts w:cs="Comic Sans MS" w:ascii="Comic Sans MS" w:hAnsi="Comic Sans MS"/>
          <w:lang w:val="en-US"/>
        </w:rPr>
        <w:t>‘</w:t>
      </w:r>
      <w:r>
        <w:rPr>
          <w:rFonts w:cs="Comic Sans MS" w:ascii="Comic Sans MS" w:hAnsi="Comic Sans MS"/>
          <w:lang w:val="en-US"/>
        </w:rPr>
        <w:t>CalType, RefPeriod, Location, Index, Loadshape, Grid Level, Quality, OptType, Strike, RefBasis, PayUnit, Curr/Volume, Edate, PayLimit, Swing%, Size’</w:t>
      </w:r>
    </w:p>
    <w:p>
      <w:pPr>
        <w:pStyle w:val="Normal"/>
        <w:rPr>
          <w:rFonts w:ascii="Comic Sans MS" w:hAnsi="Comic Sans MS" w:cs="Comic Sans MS"/>
          <w:lang w:val="en-US"/>
        </w:rPr>
      </w:pPr>
      <w:r>
        <w:rPr>
          <w:rFonts w:cs="Comic Sans MS" w:ascii="Comic Sans MS" w:hAnsi="Comic Sans MS"/>
          <w:lang w:val="en-US"/>
        </w:rPr>
        <w:t>Note: If a Product Type’s required PAI does not include a field above then no short or long description will be generated for that particular field.</w:t>
      </w:r>
    </w:p>
    <w:p>
      <w:pPr>
        <w:pStyle w:val="BodyText"/>
        <w:rPr/>
      </w:pPr>
      <w:r>
        <w:rPr/>
        <w:t>This tab needs legal review for both short description component and the completeness of the PAI fields per product type. Have we enough fields to describe the product?</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The third tab [ProdType] is where the Product Types are generated by selecting items from the fields: Country, Commodity, Deal Category, Deal Type, Firmness.</w:t>
      </w:r>
    </w:p>
    <w:p>
      <w:pPr>
        <w:pStyle w:val="Normal"/>
        <w:rPr>
          <w:rFonts w:ascii="Comic Sans MS" w:hAnsi="Comic Sans MS" w:cs="Comic Sans MS"/>
          <w:lang w:val="en-US"/>
        </w:rPr>
      </w:pPr>
      <w:r>
        <w:rPr>
          <w:rFonts w:cs="Comic Sans MS" w:ascii="Comic Sans MS" w:hAnsi="Comic Sans MS"/>
          <w:lang w:val="en-US"/>
        </w:rPr>
        <w:t>This tab also has the relevant GTC for each Product Type and the Enron Entity for each Product Type.</w:t>
      </w:r>
    </w:p>
    <w:p>
      <w:pPr>
        <w:pStyle w:val="Normal"/>
        <w:rPr>
          <w:rFonts w:ascii="Comic Sans MS" w:hAnsi="Comic Sans MS" w:cs="Comic Sans MS"/>
          <w:lang w:val="en-US"/>
        </w:rPr>
      </w:pPr>
      <w:r>
        <w:rPr>
          <w:rFonts w:cs="Comic Sans MS" w:ascii="Comic Sans MS" w:hAnsi="Comic Sans MS"/>
          <w:lang w:val="en-US"/>
        </w:rPr>
        <w:t>Other information on this tab is memorandum only.</w:t>
      </w:r>
    </w:p>
    <w:p>
      <w:pPr>
        <w:pStyle w:val="Normal"/>
        <w:rPr>
          <w:rFonts w:ascii="Comic Sans MS" w:hAnsi="Comic Sans MS" w:cs="Comic Sans MS"/>
          <w:b/>
          <w:lang w:val="en-US"/>
        </w:rPr>
      </w:pPr>
      <w:r>
        <w:rPr>
          <w:rFonts w:cs="Comic Sans MS" w:ascii="Comic Sans MS" w:hAnsi="Comic Sans MS"/>
          <w:b/>
          <w:lang w:val="en-US"/>
        </w:rPr>
        <w:t>This tab needs legal review.</w:t>
      </w:r>
    </w:p>
    <w:p>
      <w:pPr>
        <w:pStyle w:val="Normal"/>
        <w:rPr>
          <w:rFonts w:ascii="Comic Sans MS" w:hAnsi="Comic Sans MS" w:cs="Comic Sans MS"/>
          <w:b/>
          <w:lang w:val="en-US"/>
        </w:rPr>
      </w:pPr>
      <w:r>
        <w:rPr>
          <w:rFonts w:cs="Comic Sans MS" w:ascii="Comic Sans MS" w:hAnsi="Comic Sans MS"/>
          <w:b/>
          <w:lang w:val="en-US"/>
        </w:rPr>
      </w:r>
    </w:p>
    <w:p>
      <w:pPr>
        <w:pStyle w:val="Normal"/>
        <w:rPr>
          <w:rFonts w:ascii="Comic Sans MS" w:hAnsi="Comic Sans MS" w:cs="Comic Sans MS"/>
          <w:lang w:val="en-US"/>
        </w:rPr>
      </w:pPr>
      <w:r>
        <w:rPr>
          <w:rFonts w:cs="Comic Sans MS" w:ascii="Comic Sans MS" w:hAnsi="Comic Sans MS"/>
          <w:lang w:val="en-US"/>
        </w:rPr>
        <w:t>The tabs [Country#], [Commodity#], [Category#], [DealType#], [Firmness#] are relevant for the database and not for legal review.</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The remaining tabs with the exception of [RefPeriod] contain the items you can choose for each field, the abbreviation to be used in the short description per above and the long description sentence to be added if the field is part of the PAI for the Product Type.</w:t>
      </w:r>
    </w:p>
    <w:p>
      <w:pPr>
        <w:pStyle w:val="Normal"/>
        <w:rPr>
          <w:rFonts w:ascii="Comic Sans MS" w:hAnsi="Comic Sans MS" w:cs="Comic Sans MS"/>
          <w:lang w:val="en-US"/>
        </w:rPr>
      </w:pPr>
      <w:r>
        <w:rPr>
          <w:rFonts w:cs="Comic Sans MS" w:ascii="Comic Sans MS" w:hAnsi="Comic Sans MS"/>
          <w:lang w:val="en-US"/>
        </w:rPr>
        <w:t>The Product Group is for information only.</w:t>
      </w:r>
    </w:p>
    <w:p>
      <w:pPr>
        <w:pStyle w:val="Normal"/>
        <w:rPr>
          <w:rFonts w:ascii="Comic Sans MS" w:hAnsi="Comic Sans MS" w:cs="Comic Sans MS"/>
          <w:b/>
          <w:lang w:val="en-US"/>
        </w:rPr>
      </w:pPr>
      <w:r>
        <w:rPr>
          <w:rFonts w:cs="Comic Sans MS" w:ascii="Comic Sans MS" w:hAnsi="Comic Sans MS"/>
          <w:b/>
          <w:lang w:val="en-US"/>
        </w:rPr>
        <w:t>These tabs need legal review.</w:t>
      </w:r>
    </w:p>
    <w:p>
      <w:pPr>
        <w:pStyle w:val="Normal"/>
        <w:rPr>
          <w:rFonts w:ascii="Comic Sans MS" w:hAnsi="Comic Sans MS" w:cs="Comic Sans MS"/>
          <w:b/>
          <w:lang w:val="en-US"/>
        </w:rPr>
      </w:pPr>
      <w:r>
        <w:rPr>
          <w:rFonts w:cs="Comic Sans MS" w:ascii="Comic Sans MS" w:hAnsi="Comic Sans MS"/>
          <w:b/>
          <w:lang w:val="en-US"/>
        </w:rPr>
      </w:r>
    </w:p>
    <w:p>
      <w:pPr>
        <w:pStyle w:val="Normal"/>
        <w:rPr>
          <w:rFonts w:ascii="Comic Sans MS" w:hAnsi="Comic Sans MS" w:cs="Comic Sans MS"/>
          <w:lang w:val="en-US"/>
        </w:rPr>
      </w:pPr>
      <w:r>
        <w:rPr>
          <w:rFonts w:cs="Comic Sans MS" w:ascii="Comic Sans MS" w:hAnsi="Comic Sans MS"/>
          <w:lang w:val="en-US"/>
        </w:rPr>
        <w:t>Reference Periods are generated using logic which will be programmed into the system as follows:</w:t>
      </w:r>
    </w:p>
    <w:p>
      <w:pPr>
        <w:pStyle w:val="Normal"/>
        <w:rPr>
          <w:rFonts w:ascii="Comic Sans MS" w:hAnsi="Comic Sans MS" w:cs="Comic Sans MS"/>
          <w:lang w:val="en-US"/>
        </w:rPr>
      </w:pPr>
      <w:r>
        <w:rPr>
          <w:rFonts w:cs="Comic Sans MS" w:ascii="Comic Sans MS" w:hAnsi="Comic Sans MS"/>
          <w:lang w:val="en-US"/>
        </w:rPr>
        <w:t>There are two types of Reference Period i) specified dates; ii)tokenised</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 xml:space="preserve">Specified dates are where a specific start date and end date is chosen. </w:t>
      </w:r>
    </w:p>
    <w:p>
      <w:pPr>
        <w:pStyle w:val="Normal"/>
        <w:rPr>
          <w:rFonts w:ascii="Comic Sans MS" w:hAnsi="Comic Sans MS" w:cs="Comic Sans MS"/>
          <w:lang w:val="en-US"/>
        </w:rPr>
      </w:pPr>
      <w:r>
        <w:rPr>
          <w:rFonts w:cs="Comic Sans MS" w:ascii="Comic Sans MS" w:hAnsi="Comic Sans MS"/>
          <w:lang w:val="en-US"/>
        </w:rPr>
        <w:t xml:space="preserve">For short description generation – </w:t>
      </w:r>
    </w:p>
    <w:p>
      <w:pPr>
        <w:pStyle w:val="Normal"/>
        <w:rPr>
          <w:rFonts w:ascii="Comic Sans MS" w:hAnsi="Comic Sans MS" w:cs="Comic Sans MS"/>
          <w:lang w:val="en-US"/>
        </w:rPr>
      </w:pPr>
      <w:r>
        <w:rPr>
          <w:rFonts w:cs="Comic Sans MS" w:ascii="Comic Sans MS" w:hAnsi="Comic Sans MS"/>
          <w:lang w:val="en-US"/>
        </w:rPr>
        <w:t>Where this represents a specific month, a specific quarter or a specific year the system will convert these as per our example 01Jan99 to 31Jan99 will become Jan99 or 01Jan99 to 31Mar99 will become Q1 99. If these do not represent a specific month or quarter then they will remain e.g. 01Jan99 to 15Jan99.</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 xml:space="preserve">For long description generation – </w:t>
      </w:r>
    </w:p>
    <w:p>
      <w:pPr>
        <w:pStyle w:val="Normal"/>
        <w:rPr>
          <w:rFonts w:ascii="Comic Sans MS" w:hAnsi="Comic Sans MS" w:cs="Comic Sans MS"/>
          <w:lang w:val="en-US"/>
        </w:rPr>
      </w:pPr>
      <w:r>
        <w:rPr>
          <w:rFonts w:cs="Comic Sans MS" w:ascii="Comic Sans MS" w:hAnsi="Comic Sans MS"/>
          <w:lang w:val="en-US"/>
        </w:rPr>
        <w:t>The system will select the suitable description according to the Country, Commodity and Calendar Type for the specific product.</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t>Tokenised periods are where the Reference Period is a relative date or does not have a generic start and end date combination(e.g. Winter).</w:t>
      </w:r>
    </w:p>
    <w:p>
      <w:pPr>
        <w:pStyle w:val="Normal"/>
        <w:rPr>
          <w:rFonts w:ascii="Comic Sans MS" w:hAnsi="Comic Sans MS" w:cs="Comic Sans MS"/>
          <w:lang w:val="en-US"/>
        </w:rPr>
      </w:pPr>
      <w:r>
        <w:rPr>
          <w:rFonts w:cs="Comic Sans MS" w:ascii="Comic Sans MS" w:hAnsi="Comic Sans MS"/>
          <w:lang w:val="en-US"/>
        </w:rPr>
        <w:t xml:space="preserve">For short description generation – </w:t>
      </w:r>
    </w:p>
    <w:p>
      <w:pPr>
        <w:pStyle w:val="Normal"/>
        <w:rPr>
          <w:rFonts w:ascii="Comic Sans MS" w:hAnsi="Comic Sans MS" w:cs="Comic Sans MS"/>
          <w:lang w:val="en-US"/>
        </w:rPr>
      </w:pPr>
      <w:r>
        <w:rPr>
          <w:rFonts w:cs="Comic Sans MS" w:ascii="Comic Sans MS" w:hAnsi="Comic Sans MS"/>
          <w:lang w:val="en-US"/>
        </w:rPr>
        <w:t>The system will select the suitable tokenised period according to the Country, Commodity and Calendar Type for the specific product.</w:t>
      </w:r>
    </w:p>
    <w:p>
      <w:pPr>
        <w:pStyle w:val="Normal"/>
        <w:rPr>
          <w:rFonts w:ascii="Comic Sans MS" w:hAnsi="Comic Sans MS" w:cs="Comic Sans MS"/>
          <w:lang w:val="en-US"/>
        </w:rPr>
      </w:pPr>
      <w:r>
        <w:rPr>
          <w:rFonts w:cs="Comic Sans MS" w:ascii="Comic Sans MS" w:hAnsi="Comic Sans MS"/>
          <w:lang w:val="en-US"/>
        </w:rPr>
        <w:t>The abbreviation is defined for each tokenised period.</w:t>
      </w:r>
    </w:p>
    <w:p>
      <w:pPr>
        <w:pStyle w:val="Normal"/>
        <w:rPr>
          <w:rFonts w:ascii="Comic Sans MS" w:hAnsi="Comic Sans MS" w:cs="Comic Sans MS"/>
          <w:lang w:val="en-US"/>
        </w:rPr>
      </w:pPr>
      <w:r>
        <w:rPr>
          <w:rFonts w:cs="Comic Sans MS" w:ascii="Comic Sans MS" w:hAnsi="Comic Sans MS"/>
          <w:lang w:val="en-US"/>
        </w:rPr>
        <w:t>(These start approximately 80 lines down on this tab).</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b/>
          <w:lang w:val="en-US"/>
        </w:rPr>
      </w:pPr>
      <w:r>
        <w:rPr>
          <w:rFonts w:cs="Comic Sans MS" w:ascii="Comic Sans MS" w:hAnsi="Comic Sans MS"/>
          <w:b/>
          <w:lang w:val="en-US"/>
        </w:rPr>
        <w:t>This tab needs to be legally reviewed for both logic and long descriptions.</w:t>
      </w:r>
    </w:p>
    <w:p>
      <w:pPr>
        <w:pStyle w:val="Normal"/>
        <w:rPr>
          <w:rFonts w:ascii="Comic Sans MS" w:hAnsi="Comic Sans MS" w:cs="Comic Sans MS"/>
          <w:b/>
          <w:lang w:val="en-US"/>
        </w:rPr>
      </w:pPr>
      <w:r>
        <w:rPr>
          <w:rFonts w:cs="Comic Sans MS" w:ascii="Comic Sans MS" w:hAnsi="Comic Sans MS"/>
          <w:b/>
          <w:lang w:val="en-US"/>
        </w:rPr>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eastAsia="Comic Sans MS" w:cs="Comic Sans MS"/>
          <w:lang w:val="en-US"/>
        </w:rPr>
      </w:pPr>
      <w:r>
        <w:rPr>
          <w:rFonts w:eastAsia="Comic Sans MS" w:cs="Comic Sans MS" w:ascii="Comic Sans MS" w:hAnsi="Comic Sans MS"/>
          <w:lang w:val="en-US"/>
        </w:rPr>
        <w:t xml:space="preserve"> </w:t>
      </w:r>
    </w:p>
    <w:p>
      <w:pPr>
        <w:pStyle w:val="Normal"/>
        <w:rPr>
          <w:rFonts w:ascii="Comic Sans MS" w:hAnsi="Comic Sans MS" w:cs="Comic Sans MS"/>
          <w:lang w:val="en-US"/>
        </w:rPr>
      </w:pPr>
      <w:r>
        <w:rPr>
          <w:rFonts w:cs="Comic Sans MS" w:ascii="Comic Sans MS" w:hAnsi="Comic Sans MS"/>
          <w:lang w:val="en-US"/>
        </w:rPr>
      </w:r>
    </w:p>
    <w:p>
      <w:pPr>
        <w:pStyle w:val="Normal"/>
        <w:rPr>
          <w:rFonts w:ascii="Comic Sans MS" w:hAnsi="Comic Sans MS" w:cs="Comic Sans MS"/>
          <w:lang w:val="en-US"/>
        </w:rPr>
      </w:pPr>
      <w:r>
        <w:rPr>
          <w:rFonts w:cs="Comic Sans MS" w:ascii="Comic Sans MS" w:hAnsi="Comic Sans MS"/>
          <w:lang w:val="en-US"/>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rFonts w:ascii="Comic Sans MS" w:hAnsi="Comic Sans MS" w:cs="Comic Sans MS"/>
      <w:sz w:val="24"/>
      <w:u w:val="single"/>
      <w:lang w:val="en-US"/>
    </w:rPr>
  </w:style>
  <w:style w:type="paragraph" w:styleId="Heading2">
    <w:name w:val="heading 2"/>
    <w:basedOn w:val="Normal"/>
    <w:next w:val="Normal"/>
    <w:qFormat/>
    <w:pPr>
      <w:keepNext w:val="true"/>
      <w:numPr>
        <w:ilvl w:val="1"/>
        <w:numId w:val="1"/>
      </w:numPr>
      <w:outlineLvl w:val="1"/>
    </w:pPr>
    <w:rPr>
      <w:rFonts w:ascii="Arial" w:hAnsi="Arial" w:cs="Arial"/>
      <w:i/>
      <w:color w:val="000000"/>
      <w:lang w:eastAsia="en-US"/>
    </w:rPr>
  </w:style>
  <w:style w:type="paragraph" w:styleId="Heading3">
    <w:name w:val="heading 3"/>
    <w:basedOn w:val="Normal"/>
    <w:next w:val="Normal"/>
    <w:qFormat/>
    <w:pPr>
      <w:keepNext w:val="true"/>
      <w:numPr>
        <w:ilvl w:val="2"/>
        <w:numId w:val="1"/>
      </w:numPr>
      <w:outlineLvl w:val="2"/>
    </w:pPr>
    <w:rPr>
      <w:rFonts w:ascii="Comic Sans MS" w:hAnsi="Comic Sans MS" w:cs="Comic Sans MS"/>
      <w:i/>
      <w:lang w:val="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mic Sans MS" w:hAnsi="Comic Sans MS" w:cs="Comic Sans MS"/>
      <w:b/>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1999-08-10T21:36:00Z</dcterms:created>
  <dc:creator>MROMANO</dc:creator>
  <dc:description/>
  <dc:language>en-CA</dc:language>
  <cp:lastModifiedBy>MROMANO</cp:lastModifiedBy>
  <cp:lastPrinted>1999-08-11T02:22:00Z</cp:lastPrinted>
  <dcterms:modified xsi:type="dcterms:W3CDTF">1999-08-10T23:48:00Z</dcterms:modified>
  <cp:revision>7</cp:revision>
  <dc:subject/>
  <dc:title>Master Product Data Spreadsheet</dc:title>
</cp:coreProperties>
</file>