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4"/>
          <w:u w:val="single"/>
        </w:rPr>
      </w:pPr>
      <w:r>
        <w:rPr>
          <w:b/>
          <w:bCs/>
          <w:sz w:val="24"/>
          <w:u w:val="single"/>
        </w:rPr>
        <w:t>DRAFT 10/18/01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pPr>
      <w:r>
        <w:rPr>
          <w:sz w:val="22"/>
        </w:rPr>
        <w:t>This Master Netting, Setoff, and Security Agreement (including the Collateral Annex, this "</w:t>
      </w:r>
      <w:r>
        <w:rPr>
          <w:sz w:val="22"/>
          <w:u w:val="single"/>
        </w:rPr>
        <w:t>Agreement</w:t>
      </w:r>
      <w:r>
        <w:rPr>
          <w:sz w:val="22"/>
        </w:rPr>
        <w:t xml:space="preserve">") is made and entered into effective as of _______________, 200_ by and among </w:t>
      </w:r>
      <w:r>
        <w:rPr>
          <w:b/>
          <w:bCs/>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bCs/>
          <w:sz w:val="22"/>
        </w:rPr>
        <w:t>[list any other Enron entities, each with acronym]</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ISDA </w:t>
      </w:r>
      <w:r>
        <w:rPr>
          <w:b/>
          <w:bCs/>
          <w:sz w:val="22"/>
        </w:rPr>
        <w:t>[</w:t>
      </w:r>
      <w:r>
        <w:rPr>
          <w:sz w:val="22"/>
        </w:rPr>
        <w:t>or other</w:t>
      </w:r>
      <w:r>
        <w:rPr>
          <w:b/>
          <w:bCs/>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and the Physical Power Master Agreement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setoff, and apply Collateral upon a Default by, and prior to Default determine the Collateral requirements of, any Counterparty Party under any one or more of the Underlying Master Agreements as herein specified, including, without limitation, by permitting each Enron Party to terminate, liquidate, net, setoff, and apply Collateral across all of the Underlying Master Agreements and to treat this Agreement, the Underlying Master Agreements, and all Transactions thereunder as a single agreement for such purposes,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setoff, and apply Collateral upon a Default by, and prior to Default determine the Collateral requirements of, any Enron Party under any one or more of the Underlying Master Agreements as herein specified, including, without limitation, by permitting each Counterparty Party to terminate, liquidate, net, setoff, and apply Collateral across all of the Underlying Master Agreements and to treat this Agreement, the Underlying Master Agreements, and all Transactions thereunder as a single agreement for such purposes,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r>
        <w:br w:type="page"/>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by any one or more than one Enron Party or Counterparty Party, as applicable, (including, without limitation, any such collateral transferred by the Collateral Administrator on behalf of any such Parties)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Normal"/>
        <w:ind w:firstLine="720" w:end="0"/>
        <w:jc w:val="both"/>
        <w:rPr/>
      </w:pPr>
      <w:r>
        <w:rPr>
          <w:sz w:val="22"/>
        </w:rPr>
        <w:t>"</w:t>
      </w:r>
      <w:r>
        <w:rPr>
          <w:sz w:val="22"/>
          <w:u w:val="single"/>
        </w:rPr>
        <w:t>Collateral Administrator</w:t>
      </w:r>
      <w:r>
        <w:rPr>
          <w:sz w:val="22"/>
        </w:rPr>
        <w:t>" means the Party designated in the Collateral Annex to administer the Collateral for each Group in accordance with the Collateral Annex.</w:t>
      </w:r>
    </w:p>
    <w:p>
      <w:pPr>
        <w:pStyle w:val="OmniPage2"/>
        <w:ind w:firstLine="720" w:end="0"/>
        <w:jc w:val="both"/>
        <w:rPr>
          <w:sz w:val="22"/>
        </w:rPr>
      </w:pPr>
      <w:r>
        <w:rPr>
          <w:sz w:val="22"/>
        </w:rPr>
      </w:r>
    </w:p>
    <w:p>
      <w:pPr>
        <w:pStyle w:val="OmniPage2"/>
        <w:ind w:firstLine="720" w:end="0"/>
        <w:jc w:val="both"/>
        <w:rPr/>
      </w:pPr>
      <w:r>
        <w:rPr>
          <w:sz w:val="22"/>
          <w:u w:val="single"/>
        </w:rPr>
        <w:t>"Collateral Annex</w:t>
      </w:r>
      <w:r>
        <w:rPr>
          <w:sz w:val="22"/>
        </w:rPr>
        <w:t>" means the Collateral Annex attached hereto as Annex A and made a part of this Agreement.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pPr>
      <w:r>
        <w:rPr>
          <w:b/>
          <w:bCs/>
          <w:sz w:val="22"/>
        </w:rPr>
        <w:t>[</w:t>
      </w:r>
      <w:r>
        <w:rPr>
          <w:sz w:val="22"/>
        </w:rPr>
        <w:t>"</w:t>
      </w:r>
      <w:r>
        <w:rPr>
          <w:sz w:val="22"/>
          <w:u w:val="single"/>
        </w:rPr>
        <w:t>Counterparty Group Guaranty Agreement</w:t>
      </w:r>
      <w:r>
        <w:rPr>
          <w:sz w:val="22"/>
        </w:rPr>
        <w:t xml:space="preserve">" means the guaranty agreement of </w:t>
      </w:r>
      <w:r>
        <w:rPr>
          <w:b/>
          <w:bCs/>
          <w:sz w:val="22"/>
        </w:rPr>
        <w:t>__________</w:t>
      </w:r>
      <w:r>
        <w:rPr>
          <w:sz w:val="22"/>
        </w:rPr>
        <w:t xml:space="preserve"> to be delivered to Enron Group pursuant to this Agreement.</w:t>
      </w:r>
      <w:r>
        <w:rPr>
          <w:b/>
          <w:bCs/>
          <w:sz w:val="22"/>
        </w:rPr>
        <w:t>]</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xml:space="preserve">" means </w:t>
      </w:r>
      <w:r>
        <w:rPr>
          <w:b/>
          <w:bCs/>
          <w:sz w:val="22"/>
        </w:rPr>
        <w:t>X</w:t>
      </w:r>
      <w:r>
        <w:rPr>
          <w:sz w:val="22"/>
        </w:rPr>
        <w:t xml:space="preserve">, </w:t>
      </w:r>
      <w:r>
        <w:rPr>
          <w:b/>
          <w:bCs/>
          <w:sz w:val="22"/>
        </w:rPr>
        <w:t>[list other acronyms]</w:t>
      </w:r>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Drawing Event</w:t>
      </w:r>
      <w:r>
        <w:rPr>
          <w:sz w:val="22"/>
        </w:rPr>
        <w:t>" has the meaning set forth in Section 6.</w:t>
      </w:r>
    </w:p>
    <w:p>
      <w:pPr>
        <w:pStyle w:val="Normal"/>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pPr>
      <w:r>
        <w:rPr>
          <w:b/>
          <w:bCs/>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bCs/>
          <w:sz w:val="22"/>
        </w:rPr>
        <w:t>]</w:t>
      </w:r>
    </w:p>
    <w:p>
      <w:pPr>
        <w:pStyle w:val="OmniPage5"/>
        <w:ind w:firstLine="710" w:start="50" w:end="100"/>
        <w:jc w:val="both"/>
        <w:rPr>
          <w:b/>
          <w:bCs/>
          <w:sz w:val="22"/>
          <w:u w:val="single"/>
        </w:rPr>
      </w:pPr>
      <w:r>
        <w:rPr>
          <w:b/>
          <w:bCs/>
          <w:sz w:val="22"/>
          <w:u w:val="single"/>
        </w:rPr>
      </w:r>
    </w:p>
    <w:p>
      <w:pPr>
        <w:pStyle w:val="OmniPage5"/>
        <w:ind w:firstLine="670" w:start="50" w:end="100"/>
        <w:jc w:val="both"/>
        <w:rPr>
          <w:sz w:val="22"/>
          <w:u w:val="single"/>
        </w:rPr>
      </w:pPr>
      <w:r>
        <w:rPr>
          <w:sz w:val="22"/>
        </w:rPr>
        <w:t>"</w:t>
      </w:r>
      <w:r>
        <w:rPr>
          <w:sz w:val="22"/>
          <w:u w:val="single"/>
        </w:rPr>
        <w:t>Enron Party</w:t>
      </w:r>
      <w:r>
        <w:rPr>
          <w:sz w:val="22"/>
        </w:rPr>
        <w:t xml:space="preserve">" means any of ENA, EPMI, </w:t>
      </w:r>
      <w:r>
        <w:rPr>
          <w:b/>
          <w:bCs/>
          <w:sz w:val="22"/>
        </w:rPr>
        <w:t>[list other acronyms]</w:t>
      </w:r>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Exposure</w:t>
      </w:r>
      <w:r>
        <w:rPr>
          <w:sz w:val="22"/>
        </w:rPr>
        <w:t>"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t>
      </w:r>
    </w:p>
    <w:p>
      <w:pPr>
        <w:pStyle w:val="Normal"/>
        <w:jc w:val="both"/>
        <w:rPr>
          <w:sz w:val="22"/>
          <w:u w:val="single"/>
        </w:rPr>
      </w:pPr>
      <w:r>
        <w:rPr>
          <w:sz w:val="22"/>
          <w:u w:val="single"/>
        </w:rPr>
      </w:r>
    </w:p>
    <w:p>
      <w:pPr>
        <w:pStyle w:val="Normal"/>
        <w:ind w:firstLine="720" w:end="0"/>
        <w:jc w:val="both"/>
        <w:rPr/>
      </w:pPr>
      <w:r>
        <w:rPr>
          <w:sz w:val="22"/>
        </w:rPr>
        <w:t>"</w:t>
      </w:r>
      <w:r>
        <w:rPr>
          <w:sz w:val="22"/>
          <w:u w:val="single"/>
        </w:rPr>
        <w:t>Exposure Threshold</w:t>
      </w:r>
      <w:r>
        <w:rPr>
          <w:sz w:val="22"/>
        </w:rPr>
        <w:t>" means:</w:t>
      </w:r>
    </w:p>
    <w:p>
      <w:pPr>
        <w:pStyle w:val="Normal"/>
        <w:ind w:firstLine="720" w:end="0"/>
        <w:jc w:val="both"/>
        <w:rPr>
          <w:sz w:val="22"/>
        </w:rPr>
      </w:pPr>
      <w:r>
        <w:rPr>
          <w:sz w:val="22"/>
        </w:rPr>
      </w:r>
    </w:p>
    <w:p>
      <w:pPr>
        <w:pStyle w:val="Normal"/>
        <w:ind w:firstLine="720" w:end="0"/>
        <w:jc w:val="both"/>
        <w:rPr/>
      </w:pPr>
      <w:r>
        <w:rPr>
          <w:sz w:val="22"/>
        </w:rPr>
        <w:t>(a)</w:t>
        <w:tab/>
        <w:t xml:space="preserve">with respect to Enron Group, an amount equal to </w:t>
      </w:r>
      <w:r>
        <w:rPr>
          <w:b/>
          <w:sz w:val="22"/>
        </w:rPr>
        <w:t>[US]</w:t>
      </w:r>
      <w:r>
        <w:rPr>
          <w:sz w:val="22"/>
        </w:rPr>
        <w:t>$</w:t>
      </w:r>
      <w:r>
        <w:rPr>
          <w:b/>
          <w:sz w:val="22"/>
        </w:rPr>
        <w:t>[to be provided by Credit]</w:t>
      </w:r>
      <w:r>
        <w:rPr>
          <w:sz w:val="22"/>
        </w:rPr>
        <w:t>; and</w:t>
      </w:r>
    </w:p>
    <w:p>
      <w:pPr>
        <w:pStyle w:val="Normal"/>
        <w:ind w:firstLine="720" w:end="0"/>
        <w:jc w:val="both"/>
        <w:rPr>
          <w:sz w:val="22"/>
        </w:rPr>
      </w:pPr>
      <w:r>
        <w:rPr>
          <w:sz w:val="22"/>
        </w:rPr>
      </w:r>
    </w:p>
    <w:p>
      <w:pPr>
        <w:pStyle w:val="Normal"/>
        <w:ind w:firstLine="720" w:end="0"/>
        <w:jc w:val="both"/>
        <w:rPr/>
      </w:pPr>
      <w:r>
        <w:rPr>
          <w:sz w:val="22"/>
        </w:rPr>
        <w:t>(b)</w:t>
        <w:tab/>
        <w:t xml:space="preserve">with respect to Counterparty Group, an amount equal to </w:t>
      </w:r>
      <w:r>
        <w:rPr>
          <w:b/>
          <w:sz w:val="22"/>
        </w:rPr>
        <w:t>[US]</w:t>
      </w:r>
      <w:r>
        <w:rPr>
          <w:sz w:val="22"/>
        </w:rPr>
        <w:t>$</w:t>
      </w:r>
      <w:r>
        <w:rPr>
          <w:b/>
          <w:sz w:val="22"/>
        </w:rPr>
        <w:t>[to be provided by Credit]</w:t>
      </w:r>
      <w:r>
        <w:rPr>
          <w:sz w:val="22"/>
        </w:rPr>
        <w:t>;</w:t>
      </w:r>
    </w:p>
    <w:p>
      <w:pPr>
        <w:pStyle w:val="Normal"/>
        <w:ind w:firstLine="720" w:end="0"/>
        <w:jc w:val="both"/>
        <w:rPr>
          <w:sz w:val="22"/>
        </w:rPr>
      </w:pPr>
      <w:r>
        <w:rPr>
          <w:sz w:val="22"/>
        </w:rPr>
      </w:r>
    </w:p>
    <w:p>
      <w:pPr>
        <w:pStyle w:val="Normal"/>
        <w:jc w:val="both"/>
        <w:rPr/>
      </w:pPr>
      <w:r>
        <w:rPr>
          <w:sz w:val="22"/>
        </w:rPr>
        <w:t>provided, the Exposure Threshold for a Group shall be zero upon the occurrence and during the continuance of a Material Adverse Change, Default, or any event which, with the giving of notice or the lapse of time or both, would constitute a Default (a "</w:t>
      </w:r>
      <w:r>
        <w:rPr>
          <w:sz w:val="22"/>
          <w:u w:val="single"/>
        </w:rPr>
        <w:t>Potential Event of Default</w:t>
      </w:r>
      <w:r>
        <w:rPr>
          <w:sz w:val="22"/>
        </w:rPr>
        <w:t>") by or in respect of any of the entities comprising that Group.</w:t>
      </w:r>
    </w:p>
    <w:p>
      <w:pPr>
        <w:pStyle w:val="Normal"/>
        <w:jc w:val="both"/>
        <w:rPr>
          <w:sz w:val="22"/>
        </w:rPr>
      </w:pPr>
      <w:r>
        <w:rPr>
          <w:sz w:val="22"/>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pPr>
      <w:r>
        <w:rPr>
          <w:b/>
          <w:bCs/>
          <w:sz w:val="22"/>
        </w:rPr>
        <w:t>[</w:t>
      </w:r>
      <w:r>
        <w:rPr>
          <w:sz w:val="22"/>
        </w:rPr>
        <w:t>"</w:t>
      </w:r>
      <w:r>
        <w:rPr>
          <w:sz w:val="22"/>
          <w:u w:val="single"/>
        </w:rPr>
        <w:t>Guarantor</w:t>
      </w:r>
      <w:r>
        <w:rPr>
          <w:sz w:val="22"/>
        </w:rPr>
        <w:t>" means with respect to Enron Group, Enron Corp., and with respect to Counterparty Group, ____________________.</w:t>
      </w:r>
      <w:r>
        <w:rPr>
          <w:b/>
          <w:bCs/>
          <w:sz w:val="22"/>
        </w:rPr>
        <w:t>]</w:t>
      </w:r>
      <w:r>
        <w:rPr>
          <w:sz w:val="22"/>
        </w:rPr>
        <w:t xml:space="preserve">  </w:t>
      </w:r>
      <w:r>
        <w:rPr>
          <w:b/>
          <w:bCs/>
          <w:sz w:val="22"/>
        </w:rPr>
        <w:t>[If one or more guarantors are included, provisions regarding guaranties are to be added.  See User Notes.]</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as defined in the Collateral Annex, posted in respect of any Obligations of any Party.</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Material Adverse Change</w:t>
      </w:r>
      <w:r>
        <w:rPr>
          <w:sz w:val="22"/>
        </w:rPr>
        <w:t>" shall have the meaning set forth in the Collateral Annex.</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[list other party acronyms]</w:t>
      </w:r>
      <w:r>
        <w:rPr>
          <w:sz w:val="22"/>
        </w:rPr>
        <w:t xml:space="preserve">, </w:t>
      </w:r>
      <w:r>
        <w:rPr>
          <w:b/>
          <w:bCs/>
          <w:sz w:val="22"/>
        </w:rPr>
        <w:t>X</w:t>
      </w:r>
      <w:r>
        <w:rPr>
          <w:sz w:val="22"/>
        </w:rPr>
        <w:t xml:space="preserve">, </w:t>
      </w:r>
      <w:r>
        <w:rPr>
          <w:b/>
          <w:bCs/>
          <w:sz w:val="22"/>
        </w:rPr>
        <w:t>[list other party acronyms]</w:t>
      </w:r>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Termination Date</w:t>
      </w:r>
      <w:r>
        <w:rPr>
          <w:sz w:val="22"/>
        </w:rPr>
        <w:t>" has the meaning set forth in Section 6.</w:t>
      </w:r>
    </w:p>
    <w:p>
      <w:pPr>
        <w:pStyle w:val="Normal"/>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(including automatic early termination, if applicable),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sz w:val="22"/>
          <w:u w:val="single"/>
        </w:rPr>
        <w:t>Default</w:t>
      </w:r>
      <w:r>
        <w:rPr>
          <w:sz w:val="22"/>
        </w:rPr>
        <w:t xml:space="preserve">" under this Agreement </w:t>
      </w:r>
      <w:r>
        <w:rPr>
          <w:b/>
          <w:bCs/>
          <w:sz w:val="22"/>
        </w:rPr>
        <w:t>[.] [without regard to any cure periods or conditions relating to the giving of notice or the passage of time provided for in any of the Underlying Master Agreements.]</w:t>
      </w:r>
    </w:p>
    <w:p>
      <w:pPr>
        <w:pStyle w:val="OmniPage5"/>
        <w:ind w:firstLine="670" w:start="50" w:end="127"/>
        <w:jc w:val="both"/>
        <w:rPr>
          <w:b/>
          <w:bCs/>
          <w:sz w:val="22"/>
        </w:rPr>
      </w:pPr>
      <w:r>
        <w:rPr>
          <w:b/>
          <w:bCs/>
          <w:sz w:val="22"/>
        </w:rPr>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retain any Collateral; (iv) with respect to each Defaulting Party, withhold payment and performance of each Non-defaulting Party's Obligations to each Defaulting Party to pay, secure, setoff against, net, and/or recoup such Defaulting Party's Obligations to such Non-defaulting Party; (v) convert any Obligation from one currency into another currency as set forth in Section 5; and (vi)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 and the Collateral Administrator for Enron Group or Counterparty Group, as the case may be, shall have the right to apply Collateral to satisfy the Obligations under any Underlying Master Agreement for which an Early Termination Date is designated in accordance therewith.</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Non-defaulting Group from realizing on Collateral at any time after the Final Settlement Amount has been calculated by Non-defaulting Group, notwithstanding (and without awaiting the outcome of) any dispute as to the Final Settlement Amount payable.</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r>
        <w:rPr>
          <w:bCs/>
          <w:sz w:val="22"/>
        </w:rPr>
        <w: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t>
      </w:r>
    </w:p>
    <w:p>
      <w:pPr>
        <w:pStyle w:val="OmniPage5"/>
        <w:ind w:firstLine="698" w:start="80" w:end="109"/>
        <w:jc w:val="both"/>
        <w:rPr>
          <w:b/>
          <w:bCs/>
          <w:sz w:val="22"/>
        </w:rPr>
      </w:pPr>
      <w:r>
        <w:rPr>
          <w:b/>
          <w:bCs/>
          <w:sz w:val="22"/>
        </w:rPr>
      </w:r>
    </w:p>
    <w:p>
      <w:pPr>
        <w:pStyle w:val="Normal"/>
        <w:ind w:firstLine="720" w:end="0"/>
        <w:jc w:val="both"/>
        <w:rPr>
          <w:sz w:val="22"/>
        </w:rPr>
      </w:pPr>
      <w:bookmarkStart w:id="0" w:name="_Ref523586677"/>
      <w:r>
        <w:rPr>
          <w:sz w:val="22"/>
        </w:rPr>
        <w:t xml:space="preserve">(a)  Any Collateral provided (before, on or after the date of this Agreement) in respect of any Obligations, by or on behalf of any Counterparty Party to any Enron Party, shall secure the aggregate of the Obligations of Counterparty Group to Enron </w:t>
      </w:r>
      <w:bookmarkEnd w:id="0"/>
      <w:r>
        <w:rPr>
          <w:sz w:val="22"/>
        </w:rPr>
        <w:t xml:space="preserve">Group and the administration of such Collateral shall be governed by the Collateral Annex 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the Collateral Annex as of the effective date of this Agreement. </w:t>
      </w:r>
    </w:p>
    <w:p>
      <w:pPr>
        <w:pStyle w:val="Normal"/>
        <w:ind w:firstLine="720" w:end="0"/>
        <w:jc w:val="both"/>
        <w:rPr>
          <w:sz w:val="22"/>
        </w:rPr>
      </w:pPr>
      <w:r>
        <w:rPr>
          <w:sz w:val="22"/>
        </w:rPr>
      </w:r>
    </w:p>
    <w:p>
      <w:pPr>
        <w:pStyle w:val="Normal"/>
        <w:ind w:firstLine="720" w:end="0"/>
        <w:jc w:val="both"/>
        <w:rPr>
          <w:sz w:val="22"/>
        </w:rPr>
      </w:pPr>
      <w:r>
        <w:rPr>
          <w:sz w:val="22"/>
        </w:rPr>
        <w:t>(b)  In the event of the occurrence of an Early Termination Date under any Underlying Master Agreement occasioned by an event other than a Default, the Collateral Administrator for Enron Group and Counterparty Group, as the case may be, shall have the right to apply Collateral to satisfy the Obligations under the subject Underlying Master Agreement in accordance therewith.</w:t>
      </w:r>
    </w:p>
    <w:p>
      <w:pPr>
        <w:pStyle w:val="OmniPage5"/>
        <w:ind w:firstLine="698" w:start="80" w:end="109"/>
        <w:jc w:val="both"/>
        <w:rPr>
          <w:sz w:val="22"/>
        </w:rPr>
      </w:pPr>
      <w:r>
        <w:rPr>
          <w:sz w:val="22"/>
        </w:rPr>
      </w:r>
    </w:p>
    <w:p>
      <w:pPr>
        <w:pStyle w:val="OmniPage5"/>
        <w:ind w:firstLine="620" w:start="100" w:end="100"/>
        <w:jc w:val="both"/>
        <w:rPr>
          <w:sz w:val="22"/>
        </w:rPr>
      </w:pPr>
      <w:r>
        <w:rPr>
          <w:sz w:val="22"/>
        </w:rPr>
        <w: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ind w:firstLine="620" w:start="100" w:end="100"/>
        <w:jc w:val="both"/>
        <w:rPr>
          <w:sz w:val="22"/>
        </w:rPr>
      </w:pPr>
      <w:r>
        <w:rPr>
          <w:sz w:val="22"/>
        </w:rPr>
      </w:r>
    </w:p>
    <w:p>
      <w:pPr>
        <w:pStyle w:val="OmniPage5"/>
        <w:ind w:firstLine="620" w:start="100" w:end="100"/>
        <w:jc w:val="both"/>
        <w:rPr>
          <w:sz w:val="22"/>
        </w:rPr>
      </w:pPr>
      <w:r>
        <w:rPr>
          <w:sz w:val="22"/>
        </w:rPr>
        <w: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ind w:firstLine="620" w:start="100" w:end="100"/>
        <w:jc w:val="both"/>
        <w:rPr>
          <w:sz w:val="22"/>
        </w:rPr>
      </w:pPr>
      <w:r>
        <w:rPr>
          <w:sz w:val="22"/>
        </w:rPr>
      </w:r>
    </w:p>
    <w:p>
      <w:pPr>
        <w:pStyle w:val="OmniPage5"/>
        <w:ind w:firstLine="620" w:start="100" w:end="100"/>
        <w:jc w:val="both"/>
        <w:rPr/>
      </w:pPr>
      <w:r>
        <w:rPr>
          <w:sz w:val="22"/>
        </w:rPr>
        <w:t xml:space="preserve">(e)  Notwithstanding any provisions of any of the Underlying Master Agreements, each Letter of Credit permitted as Collateral issued for the account of any Counterparty Party shall name ENA for itself and as agent for </w:t>
      </w:r>
      <w:r>
        <w:rPr>
          <w:b/>
          <w:bCs/>
          <w:sz w:val="22"/>
        </w:rPr>
        <w:t>[list each other Enron Party]</w:t>
      </w:r>
      <w:r>
        <w:rPr>
          <w:sz w:val="22"/>
        </w:rPr>
        <w:t xml:space="preserve"> as beneficiary thereof, and each Letter of Credit permitted as credit support thereunder issued for the account of any Enron Party shall name </w:t>
      </w:r>
      <w:r>
        <w:rPr>
          <w:b/>
          <w:bCs/>
          <w:sz w:val="22"/>
        </w:rPr>
        <w:t>X</w:t>
      </w:r>
      <w:r>
        <w:rPr>
          <w:sz w:val="22"/>
        </w:rPr>
        <w:t xml:space="preserve"> for itself and as agent for </w:t>
      </w:r>
      <w:r>
        <w:rPr>
          <w:b/>
          <w:bCs/>
          <w:sz w:val="22"/>
        </w:rPr>
        <w:t>[list each other Counterparty Party]</w:t>
      </w:r>
      <w:r>
        <w:rPr>
          <w:sz w:val="22"/>
        </w:rPr>
        <w:t xml:space="preserve"> as beneficiary thereof, and in each case shall provide for the right of ENA or </w:t>
      </w:r>
      <w:r>
        <w:rPr>
          <w:b/>
          <w:bCs/>
          <w:sz w:val="22"/>
        </w:rPr>
        <w:t>X</w:t>
      </w:r>
      <w:r>
        <w:rPr>
          <w:sz w:val="22"/>
        </w:rPr>
        <w:t>, respectively, to draw thereon upon the occurrence of a "</w:t>
      </w:r>
      <w:r>
        <w:rPr>
          <w:sz w:val="22"/>
          <w:u w:val="single"/>
        </w:rPr>
        <w:t>Drawing Event</w:t>
      </w:r>
      <w:r>
        <w:rPr>
          <w:sz w:val="22"/>
        </w:rPr>
        <w:t>" therein set forth, all as further defined and provided for in the Collateral Annex.  The Parties covenant to each other to forthwith and without delay cause the amendment or reestablishment of each Letter of Credit issued for its account pursuant to the Underlying Master Agreements in accordance with this Agreement and the Collateral Annex.</w:t>
      </w:r>
    </w:p>
    <w:p>
      <w:pPr>
        <w:pStyle w:val="OmniPage5"/>
        <w:ind w:firstLine="620" w:start="100" w:end="100"/>
        <w:jc w:val="both"/>
        <w:rPr>
          <w:b/>
          <w:bCs/>
          <w:sz w:val="22"/>
        </w:rPr>
      </w:pPr>
      <w:r>
        <w:rPr>
          <w:b/>
          <w:bCs/>
          <w:sz w:val="22"/>
        </w:rPr>
      </w:r>
    </w:p>
    <w:p>
      <w:pPr>
        <w:pStyle w:val="OmniPage5"/>
        <w:ind w:firstLine="620" w:start="100" w:end="100"/>
        <w:jc w:val="both"/>
        <w:rPr>
          <w:sz w:val="22"/>
        </w:rPr>
      </w:pPr>
      <w:r>
        <w:rPr>
          <w:sz w:val="22"/>
        </w:rPr>
        <w:t>(f)  The provisions of the Collateral Annex shall apply.</w:t>
      </w:r>
    </w:p>
    <w:p>
      <w:pPr>
        <w:pStyle w:val="OmniPage5"/>
        <w:ind w:firstLine="620" w:start="100" w:end="100"/>
        <w:jc w:val="both"/>
        <w:rPr>
          <w:sz w:val="22"/>
        </w:rPr>
      </w:pPr>
      <w:r>
        <w:rPr>
          <w:sz w:val="22"/>
        </w:rPr>
      </w:r>
    </w:p>
    <w:p>
      <w:pPr>
        <w:pStyle w:val="OmniPage5"/>
        <w:ind w:firstLine="620" w:start="100" w:end="100"/>
        <w:jc w:val="both"/>
        <w:rPr/>
      </w:pPr>
      <w:r>
        <w:rPr>
          <w:sz w:val="22"/>
        </w:rPr>
        <w:t>(g)  At such time as this Agreement has been terminated or is otherwise no longer in force and effect for any reason (the "</w:t>
      </w:r>
      <w:r>
        <w:rPr>
          <w:sz w:val="22"/>
          <w:u w:val="single"/>
        </w:rPr>
        <w:t>Termination Date</w:t>
      </w:r>
      <w:r>
        <w:rPr>
          <w:sz w:val="22"/>
        </w:rPr>
        <w:t>"),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Warranties and Covenants.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  Each Party represents and warrants to the other that it has not assigned, transferred, created, or permitted to exist any lien or other encumbrance on, or otherwise disposed of, or purported to assign, transfer, create, or permit to exist any lien or other encumbrance on, or otherwise dispose of, any of its rights to any amounts that may be owed to it under any of the Underlying Master Agreements to any third party, and covenants that, so long as this Agreement is in effect, it will not assign, transfer, create, or permit to exist any lien or other encumbrance on, or otherwise dispose of, any of its rights to any amounts that may be owed to it under any of the Underlying Master Agreements, to any third party, except as may be herein permitted.</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 xml:space="preserve">(a)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subject to this Agreement, and shall provide that such assignee or other transferee shall execute this Agreement as a condition to the effectiveness of any such assignment or other transfer.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(b)  If any Underlying Master Agreement permits assignment or transfer of it and Transactions thereunder as security, or if any Underlying Master Agreement permits assignment or transfer of any rights to amounts payable to a Party thereunder (whether as security or otherwise), then notwithstanding the provisions of such Underlying Master Agreement, such Underlying Master Agreement and Transactions thereunder, this Agreement, and any rights therein, including, without limitation, rights to amounts payable to a Party thereunder, may be assigned or otherwise transferred (whether as security or otherwise) only if the assignment or other transfer (i) is made subject to this Agreement and any rights in favor of any Party under this Agreement (whether by setoff, Underlying Master Agreements Close-Out, or otherwise), (ii) does not increase the obligations of, or reduce the rights of, the non-assigning Party, all in substance and form reasonably satisfactory to the non-assigning Party, and (iii) is made pursuant to documentation that is in substance and form reasonably satisfactory to the non-assigning Party.</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Other than as expressly set forth in this Section 11 and notwithstanding any provision in any of the Underlying Master Agreements to the contrary, this Agreement, the Underlying Master Agreements and Transactions thereunder, and any rights to amounts payable to a Party thereunder, shall not be assigned (whether by security or otherwise) by any Enron Party or any Counterparty Party without the prior written consent of Counterparty Party or Enron Party, respectively, which consent may be given or withheld at the sole discretion of the non-assigning Party.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 or in respect of the Collateral may be given by the applicable Collateral Administrator.</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jc w:val="both"/>
        <w:rPr>
          <w:sz w:val="22"/>
        </w:rPr>
      </w:pPr>
      <w:r>
        <w:rPr>
          <w:sz w:val="22"/>
        </w:rPr>
      </w:r>
    </w:p>
    <w:p>
      <w:pPr>
        <w:pStyle w:val="OmniPage6"/>
        <w:ind w:firstLine="724" w:start="79" w:end="193"/>
        <w:jc w:val="both"/>
        <w:rPr/>
      </w:pPr>
      <w:r>
        <w:rPr>
          <w:b/>
          <w:bCs/>
          <w:sz w:val="22"/>
        </w:rPr>
        <w:t>13.</w:t>
      </w:r>
      <w:r>
        <w:rPr>
          <w:sz w:val="22"/>
        </w:rPr>
        <w:t xml:space="preserve">  </w:t>
      </w:r>
      <w:r>
        <w:rPr>
          <w:b/>
          <w:sz w:val="22"/>
        </w:rPr>
        <w:t xml:space="preserve">Conflicts and Inconsistencies.  </w:t>
      </w:r>
      <w:r>
        <w:rPr>
          <w:sz w:val="22"/>
        </w:rPr>
        <w:t>In the event of any conflict or inconsistency between this Agreement and any of the Underlying Master Agreements concerning the matters set forth in this Agreement, the provisions of this Agreement shall govern.</w:t>
      </w:r>
    </w:p>
    <w:p>
      <w:pPr>
        <w:pStyle w:val="OmniPage6"/>
        <w:ind w:firstLine="724" w:start="79" w:end="193"/>
        <w:jc w:val="both"/>
        <w:rPr>
          <w:sz w:val="22"/>
        </w:rPr>
      </w:pPr>
      <w:r>
        <w:rPr>
          <w:sz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and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(b)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any Party shall have the right to terminate this Agreement by notice to the other Parties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r>
        <w:br w:type="page"/>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b/>
          <w:bCs/>
          <w:sz w:val="22"/>
        </w:rPr>
      </w:pPr>
      <w:r>
        <w:rPr>
          <w:b/>
          <w:bCs/>
          <w:sz w:val="22"/>
        </w:rPr>
        <w:t>____________________________________________________</w:t>
      </w:r>
    </w:p>
    <w:p>
      <w:pPr>
        <w:pStyle w:val="Normal"/>
        <w:jc w:val="both"/>
        <w:rPr>
          <w:b/>
          <w:bCs/>
          <w:sz w:val="22"/>
        </w:rPr>
      </w:pPr>
      <w:r>
        <w:rPr>
          <w:b/>
          <w:bCs/>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p>
      <w:pPr>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pStyle w:val="Normal"/>
        <w:jc w:val="both"/>
        <w:rPr>
          <w:sz w:val="22"/>
        </w:rPr>
      </w:pPr>
      <w:r>
        <w:rPr>
          <w:sz w:val="22"/>
        </w:rPr>
      </w:r>
    </w:p>
    <w:p>
      <w:pPr>
        <w:pStyle w:val="Normal"/>
        <w:jc w:val="both"/>
        <w:rPr>
          <w:b/>
          <w:bCs/>
          <w:sz w:val="22"/>
        </w:rPr>
      </w:pPr>
      <w:r>
        <w:rPr>
          <w:b/>
          <w:bCs/>
          <w:sz w:val="22"/>
        </w:rPr>
        <w:t xml:space="preserve">USER NOTES:  </w:t>
      </w:r>
    </w:p>
    <w:p>
      <w:pPr>
        <w:pStyle w:val="Normal"/>
        <w:jc w:val="both"/>
        <w:rPr>
          <w:b/>
          <w:bCs/>
          <w:sz w:val="22"/>
        </w:rPr>
      </w:pPr>
      <w:r>
        <w:rPr>
          <w:b/>
          <w:bCs/>
          <w:sz w:val="22"/>
        </w:rPr>
      </w:r>
    </w:p>
    <w:p>
      <w:pPr>
        <w:pStyle w:val="Normal"/>
        <w:jc w:val="both"/>
        <w:rPr/>
      </w:pPr>
      <w:r>
        <w:rPr/>
        <w:t xml:space="preserve">1.  PRIOR TO USE EACH UNDERLYING MASTER AGREEMENT TO BE INCLUDED HEREIN MUST BE REVIEWED AND ASSESSED FOR ITS APPROPRIATENESS.  FOR EXAMPLE:  IF PHYSICAL, IS ANY TRANSACTION RELATED TO ANY TYPE OF BACK TO BACK FACILITY? OR IF FINANCIAL OR PHYSICAL, ARE ANY OF THE TRANSACTIONS RELATED TO A STRUCTURED FINANCE TRANSACTION OR OTHER ONE-OFF TYPE OF STRUCTURE SUCH AS A PRODUCTION PAYMENT?  CONFIRM THAT THE TYPE OF AGREEMENT BEING INCLUDED IS A SAFE-HARBORED AGREEMENT.  </w:t>
      </w:r>
    </w:p>
    <w:p>
      <w:pPr>
        <w:pStyle w:val="Normal"/>
        <w:jc w:val="both"/>
        <w:rPr/>
      </w:pPr>
      <w:r>
        <w:rPr/>
      </w:r>
    </w:p>
    <w:p>
      <w:pPr>
        <w:pStyle w:val="Normal"/>
        <w:jc w:val="both"/>
        <w:rPr/>
      </w:pPr>
      <w:r>
        <w:rPr/>
        <w:t xml:space="preserve">2.  ABSENT SPECIAL CIRCUMSTANCES, EACH UNDERLYING MASTER AGREEMENT (1) </w:t>
      </w:r>
      <w:r>
        <w:rPr>
          <w:u w:val="single"/>
        </w:rPr>
        <w:t>SHOULD</w:t>
      </w:r>
      <w:r>
        <w:rPr/>
        <w:t xml:space="preserve"> INCLUDE CONDITIONAL TWO WAY PAYMENTS, A/K/A CONDITIONAL SECOND METHOD UNDER ISDA, FOR TERMINATION PAYMENTS, (2) CHERRY-PICKING UPON TERMINATION (BANKRUPTCY OR OTHERWISE) </w:t>
      </w:r>
      <w:r>
        <w:rPr>
          <w:u w:val="single"/>
        </w:rPr>
        <w:t>SHOULD NOT</w:t>
      </w:r>
      <w:r>
        <w:rPr/>
        <w:t xml:space="preserve"> BE ALLOWED AND (3) </w:t>
      </w:r>
      <w:r>
        <w:rPr>
          <w:u w:val="single"/>
        </w:rPr>
        <w:t>SHOULD NOT</w:t>
      </w:r>
      <w:r>
        <w:rPr/>
        <w:t xml:space="preserve"> INCLUDE AUTOMATIC TERMINATION UNLESS FOREIGN JURISDICTION INSOLVENCY LAW WOULD MAKE SUCH NECESSARY.  THE UNDERLYING MASTER AGREEMENTS SHOULD BE AMENDED AS NECESSARY PRIOR TO INCLUSION HEREUNDER.  </w:t>
      </w:r>
    </w:p>
    <w:p>
      <w:pPr>
        <w:pStyle w:val="Normal"/>
        <w:jc w:val="both"/>
        <w:rPr/>
      </w:pPr>
      <w:r>
        <w:rPr/>
      </w:r>
    </w:p>
    <w:p>
      <w:pPr>
        <w:pStyle w:val="Normal"/>
        <w:jc w:val="both"/>
        <w:rPr/>
      </w:pPr>
      <w:r>
        <w:rPr/>
        <w:t xml:space="preserve">3.  EACH PHYSICAL UNDERLYING MASTER AGREEMENT SHOULD BE REVIEWED TO DETERMINE THAT THE LEVEL OF DEFAULT, WHICH OCCASIONS ACCELERATION AND TERMINATION OF THE UNDERLYING MASTER AGREEMENT, IS APPROPRIATE AS A DEFAULT UNDER THIS AGREEMENT.  DEFAULTS UNDER EACH PHYSICAL UNDERLYING MASTER AGREEMENT SHOULD BE REVIEWED TO DETERMINE WHICH DEFAULTS ARE SUFFICIENTLY MATERIAL TO WARRANT ACCELERATION AND TERMINATION OF THIS AGREEMENT.  EACH PHYSICAL UNDERLYING MASTER AGREEMENT SHOULD BE AMENDED TO PROVIDE FOR ACCELERATION AND TERMINATION ONLY UPON DEFAULTS APPROPRIATE TO BE A DEFAULT UNDER THIS AGREEMENT.  </w:t>
      </w:r>
    </w:p>
    <w:p>
      <w:pPr>
        <w:pStyle w:val="Normal"/>
        <w:jc w:val="both"/>
        <w:rPr/>
      </w:pPr>
      <w:r>
        <w:rPr/>
      </w:r>
    </w:p>
    <w:p>
      <w:pPr>
        <w:pStyle w:val="Normal"/>
        <w:jc w:val="both"/>
        <w:rPr/>
      </w:pPr>
      <w:r>
        <w:rPr/>
        <w:t xml:space="preserve">4.  LETTERS OF CREDIT CURRENTLY POSTED SHOULD BE MODIFIED IN ACCORDANCE HEREWITH. </w:t>
      </w:r>
    </w:p>
    <w:p>
      <w:pPr>
        <w:pStyle w:val="Normal"/>
        <w:jc w:val="both"/>
        <w:rPr/>
      </w:pPr>
      <w:r>
        <w:rPr/>
      </w:r>
    </w:p>
    <w:p>
      <w:pPr>
        <w:pStyle w:val="Normal"/>
        <w:jc w:val="both"/>
        <w:rPr/>
      </w:pPr>
      <w:r>
        <w:rPr/>
        <w:t>5.  CONSIDER CROSS-BORDER TAX AND OTHER ISSUES, INCLUDING CANADA TAX MATTERS.</w:t>
      </w:r>
    </w:p>
    <w:p>
      <w:pPr>
        <w:pStyle w:val="Normal"/>
        <w:jc w:val="both"/>
        <w:rPr/>
      </w:pPr>
      <w:r>
        <w:rPr/>
      </w:r>
    </w:p>
    <w:p>
      <w:pPr>
        <w:pStyle w:val="Normal"/>
        <w:jc w:val="both"/>
        <w:rPr/>
      </w:pPr>
      <w:r>
        <w:rPr/>
        <w:t xml:space="preserve">6.  CONSIDER GUARANTY ISSUES WITH CREDIT.  IF REPLACEMENT/NEW GUARANTIES ARE TO BE ISSUED IN THE AGGREGATE TO SECURE OBLIGATIONS UNDER THIS AGREEMENT AND THE UNDERLYING MASTER AGREEMENTS, INCLUDE ADDITIONAL PROVISIONS COVERING THE OBLIGATIONS TO ISSUE THE GUARANTIES AND THE FORMS OF GUARANTIES AS EXHIBITS.  IF ORIGINAL GUARANTIES ARE TO REMAIN IN PLACE, AMEND THE GUARANTIES TO INCORPORATE OBLIGATIONS UNDER THIS AGREEMENT AND INCLUDE RATIFICATION LANGUAGE.  </w:t>
      </w:r>
      <w:r>
        <w:rPr>
          <w:b/>
          <w:bCs/>
        </w:rPr>
        <w:t>ADD THE FOLLOWING TO THE GUARANTY PROVISIONS</w:t>
      </w:r>
      <w:r>
        <w:rPr/>
        <w:t>:  As of the date hereof, any Obligations of Enron Group and Counterparty Group with respect to the delivery by a "credit support provider" or "guarantor" of a "credit support document" or "guaranty" (in each case, however designated) have been satisfied by the respective delivery of the Enron Group Guaranty Agreement to the Counterparty Group and the Counterparty Group Guaranty Agreement to the Enron Group.</w:t>
      </w:r>
    </w:p>
    <w:p>
      <w:pPr>
        <w:pStyle w:val="Normal"/>
        <w:jc w:val="both"/>
        <w:rPr/>
      </w:pPr>
      <w:r>
        <w:rPr/>
      </w:r>
    </w:p>
    <w:p>
      <w:pPr>
        <w:pStyle w:val="Normal"/>
        <w:jc w:val="both"/>
        <w:rPr/>
      </w:pPr>
      <w:r>
        <w:rPr/>
        <w:t>7.  THE FORM OF THIS AGREEMENT IS DRAFTED FOR “RECTANGULAR” CROSS-AFFILIATE SETOFF, ASSUMING AFFILIATED ENRON SIGNATORIES AND AFFILIATED COUNTERPARTY SIGNATORIES.  UNDERLYING MASTER AGREEMENTS SHOULD BE REVIEWED TO DETERMINE IF THE AGREEMENTS AND ALL TRANSACTIONS THEREUNDER CAN BE ASSIGNED INTO ONE ENRON ENTITY, ON THE ONE HAND, OR INTO ONE COUNTERPARTY ENTITY, ON THE OTHER HAND.  IF EITHER PARTY, OR BOTH, CAN SO ASSIGN, CONSIDER ASSIGNING THE UNDERLYING MASTER AGREEMENTS TO AVOID CONSIDERATIONS OF CROSS-ENTITY ISSUES.</w:t>
      </w:r>
    </w:p>
    <w:p>
      <w:pPr>
        <w:pStyle w:val="Normal"/>
        <w:jc w:val="both"/>
        <w:rPr/>
      </w:pPr>
      <w:r>
        <w:rPr/>
      </w:r>
    </w:p>
    <w:p>
      <w:pPr>
        <w:pStyle w:val="Normal"/>
        <w:jc w:val="both"/>
        <w:rPr/>
      </w:pPr>
      <w:r>
        <w:rPr/>
        <w:t>8.  CANADA MATTERS:  NO COLLATERAL ADMINISTRATOR SHOULD BE A CANADIAN COMPANY.  PERFECTION OF CASH COLLATERAL SHOULD BE UNDERTAKEN IN CANADA BY MAKING REQUISITE FILINGS IN ACCORDANCE WITH CANADIAN LAW.</w:t>
      </w:r>
    </w:p>
    <w:p>
      <w:pPr>
        <w:pStyle w:val="Normal"/>
        <w:jc w:val="both"/>
        <w:rPr>
          <w:sz w:val="22"/>
        </w:rPr>
      </w:pPr>
      <w:r>
        <w:rPr>
          <w:sz w:val="22"/>
        </w:rPr>
      </w:r>
    </w:p>
    <w:p>
      <w:pPr>
        <w:pStyle w:val="Normal"/>
        <w:jc w:val="both"/>
        <w:rPr/>
      </w:pPr>
      <w:bookmarkStart w:id="1" w:name="_DV_C160"/>
      <w:bookmarkStart w:id="2" w:name="_DV_IPM12"/>
      <w:bookmarkEnd w:id="2"/>
      <w:r>
        <w:rPr>
          <w:rStyle w:val="DeltaViewInsertion"/>
          <w:b w:val="false"/>
          <w:bCs/>
          <w:color w:val="000000"/>
          <w:u w:val="none"/>
        </w:rPr>
        <w:t>9.  IF CAPITALIZED TERMS USED IN MASTER NETTING AGREEMENT ARE NOT DEFINED IN MASTER NETTING AGREEMENT AND ARE DEFINED IN TWO OR MORE UNDERLYING MASTER AGREEMENTS, CONSIDER ELECTING ONE DEFINITION TO APPLY IN MASTER NETTING AGREEMENT</w:t>
      </w:r>
      <w:bookmarkEnd w:id="1"/>
      <w:r>
        <w:rPr>
          <w:rStyle w:val="DeltaViewInsertion"/>
          <w:b w:val="false"/>
          <w:bCs/>
          <w:color w:val="000000"/>
          <w:u w:val="none"/>
        </w:rPr>
        <w:t>.</w:t>
      </w:r>
    </w:p>
    <w:sectPr>
      <w:footerReference w:type="default" r:id="rId3"/>
      <w:footerReference w:type="first" r:id="rId4"/>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/mnt/main-storage/datasets/enron-docs/doc/Master_Netting___Security_Agmnt_f.doc</w:t>
    </w:r>
    <w:r>
      <w:rPr>
        <w:rStyle w:val="PageNumber"/>
        <w:sz w:val="18"/>
      </w:rPr>
      <w:fldChar w:fldCharType="end"/>
    </w:r>
  </w:p>
  <w:p>
    <w:pPr>
      <w:pStyle w:val="Footer"/>
      <w:rPr>
        <w:rStyle w:val="PageNumber"/>
        <w:sz w:val="18"/>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/mnt/main-storage/datasets/enron-docs/doc/Master_Netting___Security_Agmnt_f.doc</w:t>
    </w:r>
    <w:r>
      <w:rPr>
        <w:rStyle w:val="PageNumber"/>
        <w:sz w:val="18"/>
      </w:rPr>
      <w:fldChar w:fldCharType="end"/>
    </w:r>
  </w:p>
  <w:p>
    <w:pPr>
      <w:pStyle w:val="Footer"/>
      <w:rPr>
        <w:rStyle w:val="PageNumber"/>
        <w:sz w:val="18"/>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2001-10-18T17:45:00Z</dcterms:created>
  <dc:creator>mcook</dc:creator>
  <dc:description/>
  <dc:language>en-CA</dc:language>
  <cp:lastModifiedBy>mcook</cp:lastModifiedBy>
  <cp:lastPrinted>2001-10-18T15:49:00Z</cp:lastPrinted>
  <dcterms:modified xsi:type="dcterms:W3CDTF">2001-10-18T18:39:00Z</dcterms:modified>
  <cp:revision>8</cp:revision>
  <dc:subject/>
  <dc:title>MASTER CROSS﷓PRODUCT NETTING AND SECURITY AGREEMENT</dc:title>
</cp:coreProperties>
</file>