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10/03/01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and the Physical Power Master Agreement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any Counterparty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Counterparty Party desires now to provide in this Agreement for its right to terminate, liquidate, net, setoff, and apply Collateral upon a Default by any Enron Party under any one or more of the Underlying Master Agreements as herein specified, including, without limitation, by permitting each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r>
        <w:br w:type="page"/>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Bankruptcy and Insolvency Act</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jc w:val="both"/>
        <w:rPr>
          <w:sz w:val="22"/>
        </w:rPr>
      </w:pPr>
      <w:r>
        <w:rPr>
          <w:sz w:val="22"/>
        </w:rPr>
      </w:r>
    </w:p>
    <w:p>
      <w:pPr>
        <w:pStyle w:val="OmniPage2"/>
        <w:ind w:firstLine="720" w:end="0"/>
        <w:jc w:val="both"/>
        <w:rPr/>
      </w:pPr>
      <w:r>
        <w:rPr>
          <w:sz w:val="22"/>
        </w:rPr>
        <w:t>"</w:t>
      </w:r>
      <w:r>
        <w:rPr>
          <w:sz w:val="22"/>
          <w:u w:val="single"/>
        </w:rPr>
        <w:t>Code</w:t>
      </w:r>
      <w:r>
        <w:rPr>
          <w:sz w:val="22"/>
        </w:rPr>
        <w:t>" means the United States Bankruptcy Code, 11 U.S.C. §§101</w:t>
        <w:noBreakHyphen/>
        <w:t>1330, as may be amended from time to time.</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appointed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as Annex A to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means the guaranty agreement of __________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X, </w:t>
      </w:r>
      <w:r>
        <w:rPr>
          <w:b/>
          <w:bCs/>
          <w:sz w:val="22"/>
        </w:rPr>
        <w:t>[</w:t>
      </w:r>
      <w:r>
        <w:rPr>
          <w:sz w:val="22"/>
        </w:rPr>
        <w:t>list other acronyms</w:t>
      </w:r>
      <w:r>
        <w:rPr>
          <w:b/>
          <w:bCs/>
          <w:sz w:val="22"/>
        </w:rPr>
        <w:t>]</w:t>
      </w:r>
      <w:r>
        <w:rPr>
          <w:sz w:val="22"/>
        </w:rPr>
        <w:t>.</w:t>
      </w:r>
    </w:p>
    <w:p>
      <w:pPr>
        <w:pStyle w:val="Normal"/>
        <w:jc w:val="both"/>
        <w:rPr>
          <w:sz w:val="22"/>
        </w:rPr>
      </w:pPr>
      <w:r>
        <w:rPr>
          <w:sz w:val="22"/>
        </w:rPr>
      </w:r>
    </w:p>
    <w:p>
      <w:pPr>
        <w:pStyle w:val="Normal"/>
        <w:ind w:firstLine="720" w:end="0"/>
        <w:jc w:val="both"/>
        <w:rPr/>
      </w:pPr>
      <w:r>
        <w:rPr>
          <w:sz w:val="22"/>
        </w:rPr>
        <w:t>"</w:t>
      </w:r>
      <w:r>
        <w:rPr>
          <w:sz w:val="22"/>
          <w:u w:val="single"/>
        </w:rPr>
        <w:t>Debt</w:t>
      </w:r>
      <w:r>
        <w:rPr>
          <w:sz w:val="22"/>
        </w:rPr>
        <w:t>" has the meaning set forth in Section 101 of the Code, except where the law of a Canadian jurisdiction is the proper law of the applicable contract, in which case "</w:t>
      </w:r>
      <w:r>
        <w:rPr>
          <w:sz w:val="22"/>
          <w:u w:val="single"/>
        </w:rPr>
        <w:t>Debt</w:t>
      </w:r>
      <w:r>
        <w:rPr>
          <w:sz w:val="22"/>
        </w:rPr>
        <w:t>" means any indebtedness, liability or obligation of any kind that, if unsecured, would be a debt provable in bankruptcy within the meaning of the BIA.</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Enron Party when a Default has occurred with respect to any Enron Party ("</w:t>
      </w:r>
      <w:r>
        <w:rPr>
          <w:sz w:val="22"/>
          <w:u w:val="single"/>
        </w:rPr>
        <w:t>Defaulting Enron Party</w:t>
      </w:r>
      <w:r>
        <w:rPr>
          <w:sz w:val="22"/>
        </w:rPr>
        <w:t>), and Counterparty Party when a Default has occurred with respect to any Counterparty Party ("</w:t>
      </w:r>
      <w:r>
        <w:rPr>
          <w:sz w:val="22"/>
          <w:u w:val="single"/>
        </w:rPr>
        <w:t>Defaulting Counterparty Party</w:t>
      </w:r>
      <w:r>
        <w:rPr>
          <w:sz w:val="22"/>
        </w:rPr>
        <w:t>").</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w:t>
      </w:r>
      <w:r>
        <w:rPr>
          <w:sz w:val="22"/>
        </w:rPr>
        <w:t>list other acronyms</w:t>
      </w:r>
      <w:r>
        <w:rPr>
          <w:b/>
          <w:bCs/>
          <w:sz w:val="22"/>
        </w:rPr>
        <w:t>]</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in relation to an Underlying Master Agreement, the amount that would be payable by one Party (First Party) to another Party (Second Party) to such agreement, if pursuant thereto Second Party was entitled to and did terminate all Transactions and accelerate First Party's payment Obligations under such agreement on the basis of a default by First Party.</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Enron Party when a Default has occurred with respect to a Defaulting Counterparty Party and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any Counterparty Party owes to any Enron Party or any Enron Party owes to any Counterparty Party, whether financial or physical, including, without limitation, payment and delivery obligations, each and every obligation or requirement under an Underlying Master Agreement, a Transaction, or hereunder, any Debt, any payment obligations in respect of any previously terminated or cancelled Transaction, any obligation arising under a guarantee issued pursuant to an Underlying Master Agreement that any Counterparty Party has provided to any Enron Party or that any Enron Party has provided to any Counterparty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unmatured, liquidated, unliquidated, or contingent.</w:t>
      </w:r>
    </w:p>
    <w:p>
      <w:pPr>
        <w:pStyle w:val="Normal"/>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w:t>
      </w:r>
      <w:r>
        <w:rPr>
          <w:sz w:val="22"/>
        </w:rPr>
        <w:t>list other party acronyms</w:t>
      </w:r>
      <w:r>
        <w:rPr>
          <w:b/>
          <w:bCs/>
          <w:sz w:val="22"/>
        </w:rPr>
        <w:t>]</w:t>
      </w:r>
      <w:r>
        <w:rPr>
          <w:sz w:val="22"/>
        </w:rPr>
        <w:t xml:space="preserve">, X, </w:t>
      </w:r>
      <w:r>
        <w:rPr>
          <w:b/>
          <w:bCs/>
          <w:sz w:val="22"/>
        </w:rPr>
        <w:t>[</w:t>
      </w:r>
      <w:r>
        <w:rPr>
          <w:sz w:val="22"/>
        </w:rPr>
        <w:t>list other party acronyms</w:t>
      </w:r>
      <w:r>
        <w:rPr>
          <w:b/>
          <w:bCs/>
          <w:sz w:val="22"/>
        </w:rPr>
        <w:t>]</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in respect of any Underlying Master Agreement, the net amount that is due and payable by one Party to the other Party upon (i) such agreement having been accelerated, terminated (including automatic early termination, if applicable), liquidated, or cancelled in accordance with the terms of the Underlying Master Agreement, (ii) the resulting Obligations of each Party having been determined in accordance with the terms of the Underlying Master Agreement, and (iii) those Obligations having been netted and reduced by the exercise of rights in accordance with the terms of the Underlying Master Agreement.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liquidate, or cancel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Collateral requirements under the Collateral Annex and Section 6 hereof, constitutes a "</w:t>
      </w:r>
      <w:r>
        <w:rPr>
          <w:sz w:val="22"/>
          <w:u w:val="single"/>
        </w:rPr>
        <w:t>Default</w:t>
      </w:r>
      <w:r>
        <w:rPr>
          <w:sz w:val="22"/>
        </w:rPr>
        <w:t xml:space="preserve">" under this Agreement </w:t>
      </w:r>
      <w:r>
        <w:rPr>
          <w:b/>
          <w:bCs/>
          <w:sz w:val="22"/>
        </w:rPr>
        <w:t>[.] [without regard to any cure periods or conditions relating to the giving of notice or the passage of time provided for in any of the Underlying Master Agreements.]</w:t>
      </w:r>
    </w:p>
    <w:p>
      <w:pPr>
        <w:pStyle w:val="OmniPage5"/>
        <w:ind w:firstLine="670" w:start="50" w:end="127"/>
        <w:jc w:val="both"/>
        <w:rPr>
          <w:b/>
          <w:bCs/>
          <w:sz w:val="22"/>
        </w:rPr>
      </w:pPr>
      <w:r>
        <w:rPr>
          <w:b/>
          <w:bCs/>
          <w:sz w:val="22"/>
        </w:rPr>
      </w:r>
    </w:p>
    <w:p>
      <w:pPr>
        <w:pStyle w:val="OmniPage5"/>
        <w:tabs>
          <w:tab w:val="left" w:pos="720" w:leader="none"/>
          <w:tab w:val="right" w:pos="9389" w:leader="none"/>
        </w:tabs>
        <w:ind w:start="52" w:end="0"/>
        <w:jc w:val="both"/>
        <w:rPr/>
      </w:pPr>
      <w:r>
        <w:rPr>
          <w:sz w:val="22"/>
        </w:rPr>
        <w:tab/>
        <w:t>(b) Upon the occurrence and continuance of a Default in respect of Defaulting Party, each Non-defaulting Party may, by not more than 20 days notice to Defaulting Party specifying the relevant Default, (i) consider and declare Defaulting Party in default of all of the Underlying Master Agreements and all Transactions thereunder by designating a date not earlier than the date such notice is effective, and accelerate, cancel, terminate, and liquidate, or otherwise close-out all Transactions as of such designated date; (ii) setoff, net, and/or recoup each Non-defaulting Party's Obligations to each Defaulting Party against each Defaulting Party’s Obligations to each Non-defaulting Party; (iii) retain any Collateral; (iv) with respect to Defaulting Party, withhold payment and performance of each Non-defaulting Party's Obligations to each Defaulting Party to pay, secure, setoff against, net, and/or recoup any Defaulting Party's Obligations to any Non-defaulting Party; (v) foreclose, collect, sell, or otherwise liquidate any Collateral in any order and at any time, and apply the proceeds thereof to satisfy any Defaulting Party's Obligation to any Non-defaulting Party; (vi) convert any Obligation from one currency into another currency as set forth in Section 5; and (vii)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sz w:val="22"/>
        </w:rPr>
      </w:pPr>
      <w:r>
        <w:rPr>
          <w:sz w:val="22"/>
        </w:rPr>
        <w:tab/>
        <w:t xml:space="preserve">(c) Any and all notification requirements under the Underlying Master Agreements for accelerating, terminating, liquidating, canceling, or otherwise closing-out Transactions thereunder shall be satisfied in all respects by the notice provided for in Section 2(b).  If a Default occurs and if Non-defaulting Party does not elect to cause the Underlying Master Agreements Close-Out, each Party shall retain its rights and obligations under each Underlying Master Agreement with respect thereto.        </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p>
    <w:p>
      <w:pPr>
        <w:pStyle w:val="OmniPage5"/>
        <w:tabs>
          <w:tab w:val="left" w:pos="720" w:leader="none"/>
          <w:tab w:val="right" w:pos="9389" w:leader="none"/>
        </w:tabs>
        <w:ind w:start="52" w:end="0"/>
        <w:jc w:val="both"/>
        <w:rPr>
          <w:b/>
          <w:sz w:val="22"/>
        </w:rPr>
      </w:pPr>
      <w:r>
        <w:rPr>
          <w:b/>
          <w:sz w:val="22"/>
        </w:rPr>
      </w:r>
    </w:p>
    <w:p>
      <w:pPr>
        <w:pStyle w:val="OmniPage5"/>
        <w:tabs>
          <w:tab w:val="left" w:pos="720" w:leader="none"/>
          <w:tab w:val="right" w:pos="9389" w:leader="none"/>
        </w:tabs>
        <w:ind w:start="52" w:end="0"/>
        <w:jc w:val="both"/>
        <w:rPr/>
      </w:pPr>
      <w:r>
        <w:rPr>
          <w:b/>
          <w:bCs/>
          <w:sz w:val="22"/>
        </w:rPr>
        <w:tab/>
        <w:t>[</w:t>
      </w:r>
      <w:r>
        <w:rPr>
          <w:sz w:val="22"/>
        </w:rPr>
        <w:t>(a) Notwithstanding anything to the contrary contained in this Agreement or any other agreements, instruments or undertakings to which any Enron Party and any Counterparty Party are parties, each Enron Party shall be liable to each Counterparty Party for the aggregate of all Obligations of each Enron Party to each Counterparty Party; provided, Enron Group's aggregate liability under this Section 3(a) shall not exceed the aggregate of all Enron Group's Obligations to Counterparty Group.</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t>(b) Notwithstanding anything to the contrary contained in this Agreement or any other agreements, instruments or undertakings to which any Enron Party and any Counterparty Party are parties, each Counterparty Party shall be liable to each Enron Party for the aggregate of all Obligations of each Counterparty Party to each Enron Party; provided, Counterparty Group's aggregate liability under this Section 3(b) shall not exceed the aggregate of all Counterparty Group's Obligations to Enron Group.</w:t>
      </w:r>
      <w:r>
        <w:rPr>
          <w:b/>
          <w:bCs/>
          <w:sz w:val="22"/>
        </w:rPr>
        <w:t>]</w:t>
      </w:r>
    </w:p>
    <w:p>
      <w:pPr>
        <w:pStyle w:val="OmniPage5"/>
        <w:ind w:firstLine="667" w:start="53" w:end="139"/>
        <w:jc w:val="both"/>
        <w:rPr>
          <w:b/>
          <w:bCs/>
          <w:sz w:val="22"/>
        </w:rPr>
      </w:pPr>
      <w:r>
        <w:rPr>
          <w:b/>
          <w:bCs/>
          <w:sz w:val="22"/>
        </w:rPr>
      </w:r>
    </w:p>
    <w:p>
      <w:pPr>
        <w:pStyle w:val="OmniPage5"/>
        <w:ind w:firstLine="667" w:start="53" w:end="0"/>
        <w:jc w:val="both"/>
        <w:rPr/>
      </w:pPr>
      <w:r>
        <w:rPr>
          <w:bCs/>
          <w:sz w:val="22"/>
        </w:rPr>
        <w:t xml:space="preserve">(c) </w:t>
      </w:r>
      <w:r>
        <w:rPr>
          <w:sz w:val="22"/>
        </w:rPr>
        <w:t>Upon the occurrence and continuance of a Default in respect of Defaulting Party, Non-defaulting Party may, without prior notice, setoff (including by set</w:t>
        <w:noBreakHyphen/>
        <w:t>off, offset, combination of accounts, retention, or withholding across or within each or all of the Underlying Master Agreements) any sum, amount, or Obligation (whether physically or financially settled, fixed, matured, unmatured, liquidated, unliquidated, or contingent) Owed by any Non-defaulting Party to any Defaulting Party against any sum, amount, or Obligation (whether physically or financially settled, fixed, matured, unmatured, liquidated, unliquidated, or contingent) Owed by any Defaulting Party to any Non-defaulting Party.  The foregoing is in addition to, and not in limitation of, any other right or remedy available to Non-defaulting Party (including, without limitation, any right of setoff, offset, combination of accounts, deduction, counterclaim, retention, or withholding), whether arising by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xml:space="preserve">" means, as of any date of determination, any amounts owed or otherwise accrued and payable (regardless of whether such amounts have been or could be invoiced) as of such date.  </w:t>
      </w:r>
    </w:p>
    <w:p>
      <w:pPr>
        <w:pStyle w:val="OmniPage5"/>
        <w:tabs>
          <w:tab w:val="left" w:pos="720" w:leader="none"/>
          <w:tab w:val="right" w:pos="9389" w:leader="none"/>
        </w:tabs>
        <w:ind w:start="52" w:end="0"/>
        <w:jc w:val="both"/>
        <w:rPr>
          <w:b/>
          <w:bCs/>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Party's exercise of the Underlying Master Agreements Close-Out, the Settlement Amount under each of the Underlying Master Agreements shall be determined in accordance with the terms of such agreement.  Upon such determination all Settlement Amounts shall be netted and reduced by the exercise of rights to apply Collateral or other margin delivered under or held in connection therewith and pursuant to all rights granted in this Agreement (the "</w:t>
      </w:r>
      <w:r>
        <w:rPr>
          <w:sz w:val="22"/>
          <w:u w:val="single"/>
        </w:rPr>
        <w:t>Final Settlement Amount</w:t>
      </w:r>
      <w:r>
        <w:rPr>
          <w:sz w:val="22"/>
        </w:rPr>
        <w:t>");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 Non-defaulting Party from realizing on Collateral at any time after the Final Settlement Amount has been calculated by a Non-defaulting Party,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During the term of this Agreement and so long as this Agreement is in force and effect the provisions hereof and of the Collateral Annex replace the separate exposure thresholds and Collateral requirements set forth in each Underlying Master Agreement with the Exposure Thresholds and aggregate Collateral requirements set forth in this Agreement and in the Collateral Annex covering all Underlying Master Agreements.  Notwithstanding anything to the contrary contained in any Underlying Master Agreement or in any documentation comprising or pertaining to Collateral or other credit support,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(a)  Any Collateral provided (before, on or after the date of this Agreement) in respect of any Obligations, by or at the request of any Counterparty Party to any Enron Party, shall secure the aggregate of the Obligations of each Counterparty Party to each Enron Party</w:t>
      </w:r>
      <w:bookmarkEnd w:id="0"/>
      <w:r>
        <w:rPr>
          <w:sz w:val="22"/>
        </w:rPr>
        <w:t xml:space="preserve"> and the administration of such Collateral shall be governed by the Collateral Annex as of the effective date of this Agreement.  Any Collateral provided (before, on or after the date of this Agreement) in respect of any Obligations, by or at the request of any Enron Party to any Counterparty Party, shall secure the aggregate of the Obligations of each Enron Party to each Counterparty Party and the administration of such Collateral shall be governed by the Collateral Annex as of the effective date of this Agreement; provided, in the event of an Early Termination Date under any Underlying Master Agreement occasioned by an event other than a Default, the Collateral Administrator for the Enron Group and the Counterparty Group, respectively,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 xml:space="preserve">(b)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ind w:firstLine="620" w:start="100" w:end="100"/>
        <w:jc w:val="both"/>
        <w:rPr>
          <w:sz w:val="22"/>
        </w:rPr>
      </w:pPr>
      <w:r>
        <w:rPr>
          <w:sz w:val="22"/>
        </w:rPr>
      </w:r>
    </w:p>
    <w:p>
      <w:pPr>
        <w:pStyle w:val="OmniPage5"/>
        <w:ind w:firstLine="620" w:start="100" w:end="100"/>
        <w:jc w:val="both"/>
        <w:rPr>
          <w:sz w:val="22"/>
        </w:rPr>
      </w:pPr>
      <w:r>
        <w:rPr>
          <w:sz w:val="22"/>
        </w:rPr>
        <w:t>(c)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(d)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xml:space="preserve">"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  </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(e)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(f)  At such time as this Agreement has expired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(including all Transactions under each),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pPr>
      <w:r>
        <w:rPr>
          <w:bCs/>
          <w:sz w:val="22"/>
        </w:rPr>
        <w:t xml:space="preserve">(d)  Other than as expressly set forth in this Section 11, this Agreement shall not be assigned </w:t>
      </w:r>
      <w:r>
        <w:rPr>
          <w:sz w:val="22"/>
        </w:rPr>
        <w:t xml:space="preserve">(whether by way of security or otherwise) </w:t>
      </w:r>
      <w:r>
        <w:rPr>
          <w:bCs/>
          <w:sz w:val="22"/>
        </w:rPr>
        <w:t xml:space="preserve">by Enron Party or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(e)  Any purported assignment or other transfer that is not in compliance herewith shall be void.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(f)  This Agreement may not be amended except by an amendment to this Agreement signed by each Party.  Confirmations of Transactions under any Underlying Master Agreement shall not serve as an amendment.  </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w:t>
      </w:r>
    </w:p>
    <w:p>
      <w:pPr>
        <w:pStyle w:val="Normal"/>
        <w:keepNext w:val="true"/>
        <w:spacing w:lineRule="exact" w:line="240" w:before="240" w:after="0"/>
        <w:ind w:hanging="720" w:start="720" w:end="0"/>
        <w:jc w:val="both"/>
        <w:rPr>
          <w:sz w:val="22"/>
          <w:szCs w:val="22"/>
        </w:rPr>
      </w:pPr>
      <w:r>
        <w:rPr>
          <w:sz w:val="22"/>
          <w:szCs w:val="22"/>
        </w:rPr>
        <w:t>Address for notices or communications to Enron Party:</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Party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Party:</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on a Business Day, in which case that communication shall be deemed given and effective on the first following day that is a Business Day.  Either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The Underlying Master Agreements are amended to the extent necessary to give effect to this Agreement.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 2 or Section 3 hereof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Party and Counterparty Party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PARTY"</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PARTY"</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t>[ADD SIGNATURE LINES]</w:t>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pPr>
      <w:r>
        <w:rPr/>
      </w:r>
    </w:p>
    <w:p>
      <w:pPr>
        <w:pStyle w:val="Normal"/>
        <w:jc w:val="both"/>
        <w:rPr/>
      </w:pPr>
      <w:r>
        <w:rPr/>
        <w:t xml:space="preserve">2.  ABSENT SPECIAL CIRCUMSTANCES, EACH UNDERLYING MASTER AGREEMENT (1) </w:t>
      </w:r>
      <w:r>
        <w:rPr>
          <w:u w:val="single"/>
        </w:rPr>
        <w:t>SHOULD</w:t>
      </w:r>
      <w:r>
        <w:rPr/>
        <w:t xml:space="preserve"> INCLUDE CONDITIONAL TWO WAY PAYMENTS, A/K/A CONDITIONAL SECOND METHOD UNDER ISDA, FOR TERMINATION PAYMENTS, AND (2) CHERRY-PICKING UPON TERMINATION (BANKRUPTCY OR OTHERWISE) </w:t>
      </w:r>
      <w:r>
        <w:rPr>
          <w:u w:val="single"/>
        </w:rPr>
        <w:t>SHOULD NOT</w:t>
      </w:r>
      <w:r>
        <w:rPr/>
        <w:t xml:space="preserve"> BE ALLOWED.  THE UNDERLYING MASTER AGREEMENTS SHOULD BE AMENDED AS NECESSARY PRIOR TO INCLUSION HEREUNDER.  </w:t>
      </w:r>
    </w:p>
    <w:p>
      <w:pPr>
        <w:pStyle w:val="Normal"/>
        <w:jc w:val="both"/>
        <w:rPr/>
      </w:pPr>
      <w:r>
        <w:rPr/>
      </w:r>
    </w:p>
    <w:p>
      <w:pPr>
        <w:pStyle w:val="Normal"/>
        <w:jc w:val="both"/>
        <w:rPr/>
      </w:pPr>
      <w:r>
        <w:rPr/>
        <w:t xml:space="preserve">3.  EACH PHYSICAL UNDERLYING MASTER AGREEMENT SHOULD BE REVIEWED TO DETERMINE THAT THE LEVEL OF DEFAULT, WHICH OCCASIONS ACCELERATION AND TERMINATION OF THE UNDERLYING MASTER AGREEMENT, IS APPROPRIATE TO BE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pPr>
      <w:r>
        <w:rPr/>
      </w:r>
    </w:p>
    <w:p>
      <w:pPr>
        <w:pStyle w:val="Normal"/>
        <w:jc w:val="both"/>
        <w:rPr/>
      </w:pPr>
      <w:r>
        <w:rPr/>
        <w:t>4.  ALL LETTERS OF CREDIT CURRENTLY POSTED SHOULD BE MODIFIED IN ACCORDANCE WITH THIS AGREEMENT.</w:t>
      </w:r>
    </w:p>
    <w:p>
      <w:pPr>
        <w:pStyle w:val="Normal"/>
        <w:jc w:val="both"/>
        <w:rPr/>
      </w:pPr>
      <w:r>
        <w:rPr/>
      </w:r>
    </w:p>
    <w:p>
      <w:pPr>
        <w:pStyle w:val="Normal"/>
        <w:jc w:val="both"/>
        <w:rPr/>
      </w:pPr>
      <w:r>
        <w:rPr/>
        <w:t>5.  CONSIDER CROSS-BORDER TAX AND OTHER ISSUES.</w:t>
      </w:r>
    </w:p>
    <w:p>
      <w:pPr>
        <w:pStyle w:val="Normal"/>
        <w:jc w:val="both"/>
        <w:rPr/>
      </w:pPr>
      <w:r>
        <w:rPr/>
      </w:r>
    </w:p>
    <w:p>
      <w:pPr>
        <w:pStyle w:val="Normal"/>
        <w:jc w:val="both"/>
        <w:rPr/>
      </w:pPr>
      <w:r>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bCs/>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pPr>
      <w:r>
        <w:rPr/>
      </w:r>
    </w:p>
    <w:p>
      <w:pPr>
        <w:pStyle w:val="Normal"/>
        <w:jc w:val="both"/>
        <w:rPr/>
      </w:pPr>
      <w:r>
        <w:rPr/>
        <w:t>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ENSURE “MUTUALITY” WITHOUT HAVING TO ADDRESS EITHER “RECTANGULAR” OR “TRIANGULAR” SETOFF ISSUES UNDER APPLICABLE CASE LAW.</w:t>
      </w:r>
    </w:p>
    <w:p>
      <w:pPr>
        <w:pStyle w:val="Normal"/>
        <w:jc w:val="both"/>
        <w:rPr>
          <w:sz w:val="22"/>
        </w:rPr>
      </w:pPr>
      <w:r>
        <w:rPr>
          <w:sz w:val="22"/>
        </w:rPr>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/mnt/main-storage/datasets/enron-docs/doc/Master_Netting___Security_Agmnt_d.doc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/mnt/main-storage/datasets/enron-docs/doc/Master_Netting___Security_Agmnt_d.doc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2001-10-03T12:09:00Z</dcterms:created>
  <dc:creator>mcook</dc:creator>
  <dc:description/>
  <dc:language>en-CA</dc:language>
  <cp:lastModifiedBy>mcook</cp:lastModifiedBy>
  <cp:lastPrinted>2001-10-04T17:44:00Z</cp:lastPrinted>
  <dcterms:modified xsi:type="dcterms:W3CDTF">2001-10-04T20:20:00Z</dcterms:modified>
  <cp:revision>23</cp:revision>
  <dc:subject/>
  <dc:title>MASTER CROSS﷓PRODUCT NETTING AND SECURITY AGREEMENT</dc:title>
</cp:coreProperties>
</file>