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rPr>
      </w:pPr>
      <w:r>
        <w:rPr>
          <w:b/>
          <w:bCs/>
          <w:sz w:val="24"/>
        </w:rPr>
      </w:r>
    </w:p>
    <w:p>
      <w:pPr>
        <w:pStyle w:val="Normal"/>
        <w:jc w:val="center"/>
        <w:rPr>
          <w:b/>
          <w:bCs/>
          <w:sz w:val="24"/>
          <w:u w:val="single"/>
        </w:rPr>
      </w:pPr>
      <w:r>
        <w:rPr>
          <w:b/>
          <w:bCs/>
          <w:sz w:val="24"/>
          <w:u w:val="single"/>
        </w:rPr>
        <w:t>DRAFT 5/05</w:t>
      </w:r>
    </w:p>
    <w:p>
      <w:pPr>
        <w:pStyle w:val="Normal"/>
        <w:jc w:val="both"/>
        <w:rPr>
          <w:b/>
          <w:bCs/>
          <w:sz w:val="22"/>
          <w:u w:val="single"/>
        </w:rPr>
      </w:pPr>
      <w:r>
        <w:rPr>
          <w:b/>
          <w:bCs/>
          <w:sz w:val="22"/>
          <w:u w:val="single"/>
        </w:rPr>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b/>
          <w:bCs/>
          <w:sz w:val="22"/>
        </w:rPr>
      </w:pPr>
      <w:r>
        <w:rPr>
          <w:b/>
          <w:bCs/>
          <w:sz w:val="22"/>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b/>
          <w:bCs/>
          <w:sz w:val="22"/>
        </w:rPr>
      </w:pPr>
      <w:r>
        <w:rPr>
          <w:b/>
          <w:bCs/>
          <w:sz w:val="22"/>
        </w:rPr>
      </w:r>
    </w:p>
    <w:p>
      <w:pPr>
        <w:pStyle w:val="Normal"/>
        <w:jc w:val="both"/>
        <w:rPr/>
      </w:pPr>
      <w:r>
        <w:rPr>
          <w:b/>
          <w:bCs/>
          <w:sz w:val="22"/>
        </w:rPr>
        <w:t xml:space="preserve">2.  ABSENT SPECIAL CIRCUMSTANCES, EACH UNDERLYING MASTER AGREEMENT (1) </w:t>
      </w:r>
      <w:r>
        <w:rPr>
          <w:b/>
          <w:bCs/>
          <w:sz w:val="22"/>
          <w:u w:val="single"/>
        </w:rPr>
        <w:t>SHOULD</w:t>
      </w:r>
      <w:r>
        <w:rPr>
          <w:b/>
          <w:bCs/>
          <w:sz w:val="22"/>
        </w:rPr>
        <w:t xml:space="preserve"> INCLUDE CONDITIONAL TWO WAY PAYMENTS, A/K/A CONDITIONAL SECOND METHOD UNDER ISDA, FOR TERMINATION PAYMENTS, AND (2) CHERRY-PICKING UPON TERMINATION (BANKRUPTCY OR OTHERWISE) </w:t>
      </w:r>
      <w:r>
        <w:rPr>
          <w:b/>
          <w:bCs/>
          <w:sz w:val="22"/>
          <w:u w:val="single"/>
        </w:rPr>
        <w:t>SHOULD NOT</w:t>
      </w:r>
      <w:r>
        <w:rPr>
          <w:b/>
          <w:bCs/>
          <w:sz w:val="22"/>
        </w:rPr>
        <w:t xml:space="preserve"> BE ALLOWED.  THE UNDERLYING MASTER AGREEMENTS SHOULD BE AMENDED AS NECESSARY PRIOR TO INCLUSION HEREUNDER.  </w:t>
      </w:r>
    </w:p>
    <w:p>
      <w:pPr>
        <w:pStyle w:val="Normal"/>
        <w:jc w:val="both"/>
        <w:rPr>
          <w:b/>
          <w:bCs/>
          <w:sz w:val="22"/>
        </w:rPr>
      </w:pPr>
      <w:r>
        <w:rPr>
          <w:b/>
          <w:bCs/>
          <w:sz w:val="22"/>
        </w:rPr>
      </w:r>
    </w:p>
    <w:p>
      <w:pPr>
        <w:pStyle w:val="Normal"/>
        <w:jc w:val="both"/>
        <w:rPr>
          <w:b/>
          <w:bCs/>
          <w:sz w:val="22"/>
        </w:rPr>
      </w:pPr>
      <w:r>
        <w:rPr>
          <w:b/>
          <w:bCs/>
          <w:sz w:val="22"/>
        </w:rPr>
        <w:t xml:space="preserve">3.  EACH PHYSICAL UNDERLYING MASTER AGREEMENT SHOULD BE REVIEWED TO DETERMINE THAT THE LEVEL OF DEFAULT, WHICH OCCASIONS ACCELERATION AND TERMINATION OF THE UNDERLYING MASTER AGREEMENT, IS APPROPRIATE TO BE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b/>
          <w:bCs/>
          <w:sz w:val="22"/>
        </w:rPr>
      </w:pPr>
      <w:r>
        <w:rPr>
          <w:b/>
          <w:bCs/>
          <w:sz w:val="22"/>
        </w:rPr>
      </w:r>
    </w:p>
    <w:p>
      <w:pPr>
        <w:pStyle w:val="Normal"/>
        <w:jc w:val="both"/>
        <w:rPr>
          <w:b/>
          <w:bCs/>
          <w:sz w:val="22"/>
        </w:rPr>
      </w:pPr>
      <w:r>
        <w:rPr>
          <w:b/>
          <w:bCs/>
          <w:sz w:val="22"/>
        </w:rPr>
        <w:t>4.  ALL LETTERS OF CREDIT CURRENTLY POSTED SHOULD BE MODIFIED IN ACCORDANCE WITH SECTION 6(F) CONTEMPORANEOUSLY WITH THE EXECUTION OF THIS AGREEMENT.</w:t>
      </w:r>
    </w:p>
    <w:p>
      <w:pPr>
        <w:pStyle w:val="Normal"/>
        <w:jc w:val="both"/>
        <w:rPr>
          <w:b/>
          <w:bCs/>
          <w:sz w:val="22"/>
        </w:rPr>
      </w:pPr>
      <w:r>
        <w:rPr>
          <w:b/>
          <w:bCs/>
          <w:sz w:val="22"/>
        </w:rPr>
      </w:r>
    </w:p>
    <w:p>
      <w:pPr>
        <w:pStyle w:val="Normal"/>
        <w:jc w:val="both"/>
        <w:rPr>
          <w:b/>
          <w:bCs/>
          <w:sz w:val="22"/>
        </w:rPr>
      </w:pPr>
      <w:r>
        <w:rPr>
          <w:b/>
          <w:bCs/>
          <w:sz w:val="22"/>
        </w:rPr>
        <w:t>5.  IF THERE ARE ANY INDEPENDENT AMOUNTS (NEGATIVE EXPOSURE AMOUNTS) OR CUSHION COLLATERAL (EXCESS COLLATERAL REQUIRED TO BE POSTED REGARDLESS OF EXPOSURE CALCULATIONS), THEN SPECIAL PROVISIONS SHOULD BE INCLUDED EVIDENCING THE AGREEMENT OF THE PARTIES IN RESPECT THEREOF.</w:t>
      </w:r>
    </w:p>
    <w:p>
      <w:pPr>
        <w:pStyle w:val="Normal"/>
        <w:jc w:val="both"/>
        <w:rPr>
          <w:b/>
          <w:bCs/>
          <w:sz w:val="22"/>
        </w:rPr>
      </w:pPr>
      <w:r>
        <w:rPr>
          <w:b/>
          <w:bCs/>
          <w:sz w:val="22"/>
        </w:rPr>
      </w:r>
    </w:p>
    <w:p>
      <w:pPr>
        <w:pStyle w:val="Normal"/>
        <w:jc w:val="both"/>
        <w:rPr>
          <w:b/>
          <w:bCs/>
          <w:sz w:val="22"/>
        </w:rPr>
      </w:pPr>
      <w:r>
        <w:rPr>
          <w:b/>
          <w:bCs/>
          <w:sz w:val="22"/>
        </w:rPr>
        <w:t>6.  CONSIDER CROSS-BORDER TAX AND OTHER ISSUES, WITH PARTICULARITY, ENRON CANADA CORP.</w:t>
      </w:r>
    </w:p>
    <w:p>
      <w:pPr>
        <w:pStyle w:val="Normal"/>
        <w:jc w:val="both"/>
        <w:rPr>
          <w:b/>
          <w:bCs/>
          <w:sz w:val="22"/>
        </w:rPr>
      </w:pPr>
      <w:r>
        <w:rPr>
          <w:b/>
          <w:bCs/>
          <w:sz w:val="22"/>
        </w:rPr>
      </w:r>
    </w:p>
    <w:p>
      <w:pPr>
        <w:pStyle w:val="Normal"/>
        <w:jc w:val="both"/>
        <w:rPr>
          <w:b/>
          <w:bCs/>
          <w:sz w:val="22"/>
        </w:rPr>
      </w:pPr>
      <w:r>
        <w:rPr>
          <w:b/>
          <w:bCs/>
          <w:sz w:val="22"/>
        </w:rPr>
        <w:t>7.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w:t>
      </w:r>
    </w:p>
    <w:p>
      <w:pPr>
        <w:pStyle w:val="Normal"/>
        <w:jc w:val="both"/>
        <w:rPr>
          <w:b/>
          <w:bCs/>
          <w:sz w:val="22"/>
        </w:rPr>
      </w:pPr>
      <w:r>
        <w:rPr>
          <w:b/>
          <w:bCs/>
          <w:sz w:val="22"/>
        </w:rPr>
      </w:r>
    </w:p>
    <w:p>
      <w:pPr>
        <w:pStyle w:val="Normal"/>
        <w:jc w:val="both"/>
        <w:rPr>
          <w:b/>
          <w:bCs/>
          <w:sz w:val="22"/>
        </w:rPr>
      </w:pPr>
      <w:r>
        <w:rPr>
          <w:b/>
          <w:bCs/>
          <w:sz w:val="22"/>
        </w:rPr>
        <w:t>8.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ENSURE “MUTUALITY” WITHOUT HAVING TO ADDRESS EITHER “RECTANGULAR” OR “TRIANGULAR” SETOFF ISSUES UNDER APPLICABLE CASE LAW.</w:t>
      </w:r>
      <w:r>
        <w:br w:type="page"/>
      </w:r>
    </w:p>
    <w:p>
      <w:pPr>
        <w:pStyle w:val="Normal"/>
        <w:jc w:val="both"/>
        <w:rPr>
          <w:b/>
          <w:bCs/>
          <w:sz w:val="22"/>
        </w:rPr>
      </w:pPr>
      <w:r>
        <w:rPr>
          <w:b/>
          <w:bCs/>
          <w:sz w:val="22"/>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between </w:t>
      </w:r>
      <w:r>
        <w:rPr>
          <w:b/>
          <w:bCs/>
          <w:sz w:val="22"/>
        </w:rPr>
        <w:t>[</w:t>
      </w:r>
      <w:r>
        <w:rPr>
          <w:sz w:val="22"/>
        </w:rPr>
        <w:t>among</w:t>
      </w:r>
      <w:r>
        <w:rPr>
          <w:b/>
          <w:bCs/>
          <w:sz w:val="22"/>
        </w:rPr>
        <w:t>]</w:t>
      </w:r>
      <w:r>
        <w:rPr>
          <w:sz w:val="22"/>
        </w:rPr>
        <w:t xml:space="preserve">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any Counterparty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Counterparty Party desires now to provide in this Agreement for its right to terminate, liquidate, net, setoff, and apply Collateral upon a Default by any Enron Party under any one or more of the Underlying Master Agreements as herein specified, including, without limitation, by permitting each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Defined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jc w:val="both"/>
        <w:rPr>
          <w:sz w:val="22"/>
        </w:rPr>
      </w:pPr>
      <w:r>
        <w:rPr>
          <w:sz w:val="22"/>
        </w:rPr>
      </w:r>
    </w:p>
    <w:p>
      <w:pPr>
        <w:pStyle w:val="OmniPage2"/>
        <w:ind w:firstLine="720" w:end="0"/>
        <w:jc w:val="both"/>
        <w:rPr/>
      </w:pPr>
      <w:r>
        <w:rPr>
          <w:sz w:val="22"/>
        </w:rPr>
        <w:t>"</w:t>
      </w:r>
      <w:r>
        <w:rPr>
          <w:sz w:val="22"/>
          <w:u w:val="single"/>
        </w:rPr>
        <w:t>Code</w:t>
      </w:r>
      <w:r>
        <w:rPr>
          <w:sz w:val="22"/>
        </w:rPr>
        <w:t>" means the United States Bankruptcy Code, 11 U.S.C. §§101</w:t>
        <w:noBreakHyphen/>
        <w:t>1330, as may be amended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Collateral</w:t>
      </w:r>
      <w:r>
        <w:rPr>
          <w:sz w:val="22"/>
        </w:rPr>
        <w:t>" has the meaning set forth in Section 6.</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xml:space="preserve">" means X, </w:t>
      </w:r>
      <w:r>
        <w:rPr>
          <w:b/>
          <w:bCs/>
          <w:sz w:val="22"/>
        </w:rPr>
        <w:t>[</w:t>
      </w:r>
      <w:r>
        <w:rPr>
          <w:sz w:val="22"/>
        </w:rPr>
        <w:t>list other acronyms</w:t>
      </w:r>
      <w:r>
        <w:rPr>
          <w:b/>
          <w:bCs/>
          <w:sz w:val="22"/>
        </w:rPr>
        <w:t>]</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Debt</w:t>
      </w:r>
      <w:r>
        <w:rPr>
          <w:sz w:val="22"/>
        </w:rPr>
        <w:t>" has the meaning set forth in Section 101 of the Code.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Enron Party when a Default has occurred with respect to any Enron Party ("</w:t>
      </w:r>
      <w:r>
        <w:rPr>
          <w:sz w:val="22"/>
          <w:u w:val="single"/>
        </w:rPr>
        <w:t>Defaulting Enron Party</w:t>
      </w:r>
      <w:r>
        <w:rPr>
          <w:sz w:val="22"/>
        </w:rPr>
        <w:t>), and Counterparty Party when a Default has occurred with respect to any Counterparty Party ("</w:t>
      </w:r>
      <w:r>
        <w:rPr>
          <w:sz w:val="22"/>
          <w:u w:val="single"/>
        </w:rPr>
        <w:t>Defaulting Counterparty Party</w:t>
      </w:r>
      <w:r>
        <w:rPr>
          <w:sz w:val="22"/>
        </w:rPr>
        <w:t>").</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5"/>
        <w:ind w:firstLine="710" w:start="50" w:end="100"/>
        <w:jc w:val="both"/>
        <w:rPr>
          <w:sz w:val="22"/>
          <w:u w:val="single"/>
        </w:rPr>
      </w:pPr>
      <w:r>
        <w:rPr>
          <w:sz w:val="22"/>
          <w:u w:val="single"/>
        </w:rPr>
      </w:r>
    </w:p>
    <w:p>
      <w:pPr>
        <w:pStyle w:val="OmniPage5"/>
        <w:ind w:firstLine="710" w:start="50" w:end="100"/>
        <w:jc w:val="both"/>
        <w:rPr>
          <w:sz w:val="22"/>
          <w:u w:val="single"/>
        </w:rPr>
      </w:pPr>
      <w:r>
        <w:rPr>
          <w:sz w:val="22"/>
        </w:rPr>
        <w:t>"</w:t>
      </w:r>
      <w:r>
        <w:rPr>
          <w:sz w:val="22"/>
          <w:u w:val="single"/>
        </w:rPr>
        <w:t>Enron Party</w:t>
      </w:r>
      <w:r>
        <w:rPr>
          <w:sz w:val="22"/>
        </w:rPr>
        <w:t xml:space="preserve">" means ENA, EPMI, </w:t>
      </w:r>
      <w:r>
        <w:rPr>
          <w:b/>
          <w:bCs/>
          <w:sz w:val="22"/>
        </w:rPr>
        <w:t>[</w:t>
      </w:r>
      <w:r>
        <w:rPr>
          <w:sz w:val="22"/>
        </w:rPr>
        <w:t>list other acronyms</w:t>
      </w:r>
      <w:r>
        <w:rPr>
          <w:b/>
          <w:bCs/>
          <w:sz w:val="22"/>
        </w:rPr>
        <w:t>]</w:t>
      </w:r>
      <w:r>
        <w:rPr>
          <w:sz w:val="22"/>
        </w:rPr>
        <w:t>.</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Exposure Threshold</w:t>
      </w:r>
      <w:r>
        <w:rPr>
          <w:sz w:val="22"/>
        </w:rPr>
        <w:t>" has the meaning set forth in Section 6.</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Final Settlement Amount</w:t>
      </w:r>
      <w:r>
        <w:rPr>
          <w:sz w:val="22"/>
        </w:rPr>
        <w:t>" has the meaning set forth in Section 4.</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Letters of Credit</w:t>
      </w:r>
      <w:r>
        <w:rPr>
          <w:sz w:val="22"/>
        </w:rPr>
        <w:t>" has the meaning set forth in Section 6.</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Enron Party when a Default has occurred with respect to a Defaulting Counterparty Party and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any Counterparty Party owes to any Enron Party or any Enron Party owes to any Counterparty Party, whether financial or physical, including, without limitation, payment and delivery obligations, each and every obligation or requirement under an Underlying Master Agreement, a Transaction, or hereunder, any Debt, any payment obligations in respect of any previously terminated or cancelled Transaction, any obligation arising under a guarantee issued pursuant to an Underlying Master Agreement that any Counterparty Party has provided to any Enron Party or that any Enron Party has provided to any Counterparty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unmatured, liquidated, unliquidated, or contingent.</w:t>
      </w:r>
    </w:p>
    <w:p>
      <w:pPr>
        <w:pStyle w:val="Normal"/>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w:t>
      </w:r>
      <w:r>
        <w:rPr>
          <w:sz w:val="22"/>
        </w:rPr>
        <w:t>list other party acronyms</w:t>
      </w:r>
      <w:r>
        <w:rPr>
          <w:b/>
          <w:bCs/>
          <w:sz w:val="22"/>
        </w:rPr>
        <w:t>]</w:t>
      </w:r>
      <w:r>
        <w:rPr>
          <w:sz w:val="22"/>
        </w:rPr>
        <w:t xml:space="preserve">, X, </w:t>
      </w:r>
      <w:r>
        <w:rPr>
          <w:b/>
          <w:bCs/>
          <w:sz w:val="22"/>
        </w:rPr>
        <w:t>[</w:t>
      </w:r>
      <w:r>
        <w:rPr>
          <w:sz w:val="22"/>
        </w:rPr>
        <w:t>list other party acronyms</w:t>
      </w:r>
      <w:r>
        <w:rPr>
          <w:b/>
          <w:bCs/>
          <w:sz w:val="22"/>
        </w:rPr>
        <w:t>]</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in respect of any Underlying Master Agreement, the net amount that is due and payable by one Party to the other Party upon (i) such agreement having been accelerated, terminated (including automatic early termination, if applicable), liquidated, or cancelled in accordance with the terms of the Underlying Master Agreement, (ii) the resulting Obligations of each Party having been determined in accordance with the terms of the Underlying Master Agreement, and (iii) in accordance with the terms of the Underlying Master Agreement, those Obligations having been netted and reduced by the exercise of rights to apply margin or other credit support delivered under or held in connection with such agreement.</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liquidate, or cancel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Collateral requirements under Section 6 hereof, constitutes a "</w:t>
      </w:r>
      <w:r>
        <w:rPr>
          <w:sz w:val="22"/>
          <w:u w:val="single"/>
        </w:rPr>
        <w:t>Default</w:t>
      </w:r>
      <w:r>
        <w:rPr>
          <w:sz w:val="22"/>
        </w:rPr>
        <w:t xml:space="preserve">" under this Agreement </w:t>
      </w:r>
      <w:r>
        <w:rPr>
          <w:b/>
          <w:bCs/>
          <w:sz w:val="22"/>
        </w:rPr>
        <w:t>[.] [without regard to any cure periods or conditions relating to the giving of notice or the passage of time provided for in any of the Underlying Master Agreements.]</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continuance of a Default in respect of Defaulting Party, each Non-defaulting Party may, by not more than 20 days notice to Defaulting Party specifying the relevant Default, (i) consider and declare Defaulting Party in default of all of the Underlying Master Agreements and all Transactions thereunder by designating a date not earlier than the date such notice is effective, and accelerate, cancel, terminate, and liquidate, or otherwise close-out all Transactions as of such designated date; (ii) setoff, net, and/or recoup each Non-defaulting Party's Obligations to each Defaulting Party against each Defaulting Party’s Obligations to each Non-defaulting Party; (iii) retain any Collateral; (iv) with respect to Defaulting Party, withhold payment and performance of each Non-defaulting Party's Obligations to each Defaulting Party to pay, secure, setoff against, net, and/or recoup any Defaulting Party's Obligations to any Non-defaulting Party; (v) foreclose, collect, sell, or otherwise liquidate any Collateral in any  order and at any time, and apply the proceeds thereof to satisfy any Defaulting Party's Obligation to any Non-defaulting Party; (vi) convert any Obligation from one currency into another currency as set forth in Section 5; and (vii)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sz w:val="22"/>
        </w:rPr>
      </w:pPr>
      <w:r>
        <w:rPr>
          <w:sz w:val="22"/>
        </w:rPr>
        <w:tab/>
        <w:t xml:space="preserve">(c)  Any and all notification requirements under the Underlying Master Agreements for accelerating, terminating, liquidating, canceling, or otherwise closing-out Transactions thereunder shall be satisfied in all respects by the notice provided for in Section 2(b).  If a Default occurs and if Non-defaulting Party does not elect to cause the Underlying Master Agreements Close-Out, each Party shall retain its rights and obligations under each Underlying Master Agreement with respect thereto.        </w:t>
      </w:r>
    </w:p>
    <w:p>
      <w:pPr>
        <w:pStyle w:val="OmniPage5"/>
        <w:tabs>
          <w:tab w:val="left" w:pos="720" w:leader="none"/>
          <w:tab w:val="right" w:pos="9389" w:leader="none"/>
        </w:tabs>
        <w:ind w:start="52" w:end="0"/>
        <w:jc w:val="both"/>
        <w:rPr>
          <w:sz w:val="22"/>
        </w:rPr>
      </w:pPr>
      <w:r>
        <w:rPr>
          <w:sz w:val="22"/>
        </w:rPr>
      </w:r>
    </w:p>
    <w:p>
      <w:pPr>
        <w:pStyle w:val="OmniPage5"/>
        <w:ind w:firstLine="667" w:start="53" w:end="139"/>
        <w:jc w:val="both"/>
        <w:rPr/>
      </w:pPr>
      <w:r>
        <w:rPr>
          <w:b/>
          <w:sz w:val="22"/>
        </w:rPr>
        <w:t xml:space="preserve">3.  Setoff.  </w:t>
      </w:r>
      <w:r>
        <w:rPr>
          <w:sz w:val="22"/>
        </w:rPr>
        <w:t>Upon the occurrence and continuance of a Default in respect of Defaulting Party, Non-defaulting Party may, without prior notice, setoff (including by set</w:t>
        <w:noBreakHyphen/>
        <w:t xml:space="preserve">off, offset, combination of accounts, retention, or withholding across or within each or all of the Underlying Master Agreements) any sum, amount, or Obligation (whether physically or financially settled, fixed, matured, unmatured, liquidated, unliquidated, or contingent) owed by any Non-defaulting Party to any Defaulting Party against any sum, amount, or Obligation (whether physically or financially settled, fixed, matured, unmatured, liquidated, unliquidated, or contingent) owed by any Defaulting Party to any Non-defaulting Party.  The foregoing is in addition to, and not in limitation of, any other right or remedy available to Non-defaulting Party (including, without limitation, any right of setoff, offset, combination of accounts, deduction, counterclaim, retention, or withholding), whether arising by this Agreement or other agreement, including, without limitation, any of the Underlying Master Agreements and with particularity, rights therein with respect to any Enron Affiliate or any Counterparty Affiliate, applicable law, equity, or otherwise.  </w:t>
      </w:r>
    </w:p>
    <w:p>
      <w:pPr>
        <w:pStyle w:val="OmniPage5"/>
        <w:tabs>
          <w:tab w:val="left" w:pos="720" w:leader="none"/>
          <w:tab w:val="right" w:pos="9389" w:leader="none"/>
        </w:tabs>
        <w:ind w:start="52" w:end="0"/>
        <w:jc w:val="both"/>
        <w:rPr>
          <w:b/>
          <w:bCs/>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Party's exercise of the Underlying Master Agreements Close-Out, the Settlement Amount under each of the Underlying Master Agreements shall be determined in accordance with the terms of such agreement.  Upon such determination all Settlement Amounts shall be netted and reduced by the exercise of rights to apply margin or other credit support delivered under or held in connection therewith and pursuant to all rights granted in this Agreement (the "</w:t>
      </w:r>
      <w:r>
        <w:rPr>
          <w:sz w:val="22"/>
          <w:u w:val="single"/>
        </w:rPr>
        <w:t>Final Settlement Amount</w:t>
      </w:r>
      <w:r>
        <w:rPr>
          <w:sz w:val="22"/>
        </w:rPr>
        <w:t>");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Security Interest and Lien; Letters of Credit; Exposure Thresholds.  </w:t>
      </w:r>
      <w:r>
        <w:rPr>
          <w:sz w:val="22"/>
        </w:rPr>
        <w:t xml:space="preserve">(a)  Each Enron Party hereby grants to each Counterparty Party a continuing security interest in and assigns (notwithstanding any limitation in any of the Underlying Master Agreements) to each Counterparty Party (i) all securities, monies, or other property now or hereafter held or carried by any Counterparty Party in any accounts of any Enron Party or otherwise held or subject to the control or dominion of any Counterparty Party or any agent thereof (including any margin posted) under this Agreement or the Underlying Master Agreements, (ii) any rights any Enron Party has in any Obligations of any Counterparty Party, and (iii) all proceeds of or distributions on any of the foregoing. </w:t>
      </w:r>
    </w:p>
    <w:p>
      <w:pPr>
        <w:pStyle w:val="OmniPage5"/>
        <w:ind w:firstLine="698" w:start="80" w:end="109"/>
        <w:jc w:val="both"/>
        <w:rPr>
          <w:sz w:val="22"/>
        </w:rPr>
      </w:pPr>
      <w:r>
        <w:rPr>
          <w:sz w:val="22"/>
        </w:rPr>
      </w:r>
    </w:p>
    <w:p>
      <w:pPr>
        <w:pStyle w:val="OmniPage5"/>
        <w:ind w:firstLine="698" w:start="80" w:end="109"/>
        <w:jc w:val="both"/>
        <w:rPr>
          <w:sz w:val="22"/>
        </w:rPr>
      </w:pPr>
      <w:r>
        <w:rPr>
          <w:sz w:val="22"/>
        </w:rPr>
        <w:t>(b)  Each Counterparty Party hereby grants to each Enron Party a continuing security interest in and assigns (notwithstanding any limitation in any of the Underlying Master Agreements) to each Enron Party (i) all securities, monies, or other property now or hereafter held or carried by any Enron Party in any accounts of any Counterparty Party or otherwise held or subject to the control or dominion of any Enron Party or any agent thereof (including any margin posted) under this Agreement or the Underlying Master Agreements, (ii) any rights any Counterparty Party has in any Obligations of any Enron Party, and (iii) all proceeds of or distributions on any of the foregoing.</w:t>
      </w:r>
    </w:p>
    <w:p>
      <w:pPr>
        <w:pStyle w:val="Normal"/>
        <w:jc w:val="both"/>
        <w:rPr>
          <w:sz w:val="22"/>
        </w:rPr>
      </w:pPr>
      <w:r>
        <w:rPr>
          <w:sz w:val="22"/>
        </w:rPr>
      </w:r>
    </w:p>
    <w:p>
      <w:pPr>
        <w:pStyle w:val="Normal"/>
        <w:jc w:val="both"/>
        <w:rPr/>
      </w:pPr>
      <w:r>
        <w:rPr>
          <w:sz w:val="22"/>
        </w:rPr>
        <w:tab/>
        <w:t>All property set forth in the foregoing paragraphs (a) and (b), and all letters of credit posted in respect of any Obligations ("</w:t>
      </w:r>
      <w:r>
        <w:rPr>
          <w:sz w:val="22"/>
          <w:u w:val="single"/>
        </w:rPr>
        <w:t>Letters of Credit</w:t>
      </w:r>
      <w:r>
        <w:rPr>
          <w:sz w:val="22"/>
        </w:rPr>
        <w:t>"), are referred to herein as "</w:t>
      </w:r>
      <w:r>
        <w:rPr>
          <w:sz w:val="22"/>
          <w:u w:val="single"/>
        </w:rPr>
        <w:t>Collateral</w:t>
      </w:r>
      <w:r>
        <w:rPr>
          <w:sz w:val="22"/>
        </w:rPr>
        <w:t>."</w:t>
      </w:r>
    </w:p>
    <w:p>
      <w:pPr>
        <w:pStyle w:val="Normal"/>
        <w:jc w:val="both"/>
        <w:rPr>
          <w:sz w:val="22"/>
        </w:rPr>
      </w:pPr>
      <w:r>
        <w:rPr>
          <w:sz w:val="22"/>
        </w:rPr>
      </w:r>
    </w:p>
    <w:p>
      <w:pPr>
        <w:pStyle w:val="OmniPage5"/>
        <w:ind w:firstLine="620" w:start="100" w:end="100"/>
        <w:jc w:val="both"/>
        <w:rPr>
          <w:sz w:val="22"/>
        </w:rPr>
      </w:pPr>
      <w:r>
        <w:rPr>
          <w:sz w:val="22"/>
        </w:rPr>
        <w:t xml:space="preserve">(c) All Collateral pledged by any Party in connection with a particular Transaction or Transactions shall secure first that Party's Obligations under that Transaction or those Transactions, and second that Party's Obligations under all other Transactions.  In furtherance of the foregoing, the provisions of any Underlying Master Agreements more particularly describing any property that is Collateral are hereby incorporated by reference as if fully set forth herein.  </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(d)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ind w:firstLine="620" w:start="100" w:end="100"/>
        <w:jc w:val="both"/>
        <w:rPr>
          <w:sz w:val="22"/>
        </w:rPr>
      </w:pPr>
      <w:r>
        <w:rPr>
          <w:sz w:val="22"/>
        </w:rPr>
      </w:r>
    </w:p>
    <w:p>
      <w:pPr>
        <w:pStyle w:val="OmniPage5"/>
        <w:ind w:firstLine="620" w:start="100" w:end="100"/>
        <w:jc w:val="both"/>
        <w:rPr>
          <w:sz w:val="22"/>
        </w:rPr>
      </w:pPr>
      <w:r>
        <w:rPr>
          <w:sz w:val="22"/>
        </w:rPr>
        <w:t>(e)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(f)  Notwithstanding any provisions of any of the Underlying Master Agreements, all Letters of Credit permitted as credit support thereunder issued for the account of any Counterparty Party shall name "Enron North America for itself and as agent for </w:t>
      </w:r>
      <w:r>
        <w:rPr>
          <w:b/>
          <w:bCs/>
          <w:sz w:val="22"/>
        </w:rPr>
        <w:t>[list each other Enron Party]</w:t>
      </w:r>
      <w:r>
        <w:rPr>
          <w:sz w:val="22"/>
        </w:rPr>
        <w:t>" as a beneficiary thereof, and all Letters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a beneficiary thereof, and in each case shall provide for the right of each such named beneficiary to draw thereon upon the occurrence of a Default under this Agreement or any other drawing condition therein set forth.  The Parties agree and covenant to each other to forthwith and without delay cause the amendment or reestablishment of all Letters of Credit issued for its account pursuant to the Underlying Master Agreements in accordance with the foregoing criteria.  </w:t>
      </w:r>
    </w:p>
    <w:p>
      <w:pPr>
        <w:pStyle w:val="OmniPage5"/>
        <w:ind w:firstLine="620" w:start="100" w:end="100"/>
        <w:jc w:val="both"/>
        <w:rPr>
          <w:b/>
          <w:bCs/>
          <w:sz w:val="22"/>
        </w:rPr>
      </w:pPr>
      <w:r>
        <w:rPr>
          <w:b/>
          <w:bCs/>
          <w:sz w:val="22"/>
        </w:rPr>
      </w:r>
    </w:p>
    <w:p>
      <w:pPr>
        <w:pStyle w:val="OmniPage5"/>
        <w:ind w:firstLine="620" w:start="100" w:end="100"/>
        <w:jc w:val="both"/>
        <w:rPr/>
      </w:pPr>
      <w:r>
        <w:rPr>
          <w:sz w:val="22"/>
        </w:rPr>
        <w:t>(g)  Each Party to an Underlying Master Agreement agrees that during the term of this Agreement the provisions thereof are hereby amended to replace the determination of separate Collateral requirements under each Underlying Master Agreement with the determination of an aggregate net Collateral requirement under all Underlying Master Agreements on the basis of the provisions of this Agreement.  During the term of this Agreement the exposure thresholds applicable to Collateral requirements however defined or set forth in the Underlying Master Agreements shall not apply and each following exposure threshold shall apply to the aggregate exposure under all of the Underlying Master Agreements (each, an "</w:t>
      </w:r>
      <w:r>
        <w:rPr>
          <w:sz w:val="22"/>
          <w:u w:val="single"/>
        </w:rPr>
        <w:t>Exposure Threshold</w:t>
      </w:r>
      <w:r>
        <w:rPr>
          <w:sz w:val="22"/>
        </w:rPr>
        <w:t>"):  w</w:t>
      </w:r>
      <w:r>
        <w:rPr>
          <w:iCs/>
          <w:sz w:val="22"/>
        </w:rPr>
        <w:t xml:space="preserve">ith respect to Enron Party, an aggregate amount equal to </w:t>
      </w:r>
      <w:r>
        <w:rPr>
          <w:b/>
          <w:bCs/>
          <w:iCs/>
          <w:sz w:val="22"/>
        </w:rPr>
        <w:t>[</w:t>
      </w:r>
      <w:r>
        <w:rPr>
          <w:iCs/>
          <w:sz w:val="22"/>
        </w:rPr>
        <w:t>U.S.</w:t>
      </w:r>
      <w:r>
        <w:rPr>
          <w:b/>
          <w:bCs/>
          <w:iCs/>
          <w:sz w:val="22"/>
        </w:rPr>
        <w:t>]</w:t>
      </w:r>
      <w:r>
        <w:rPr>
          <w:iCs/>
          <w:sz w:val="22"/>
        </w:rPr>
        <w:t xml:space="preserve">$ </w:t>
      </w:r>
      <w:r>
        <w:rPr>
          <w:b/>
          <w:iCs/>
          <w:sz w:val="22"/>
        </w:rPr>
        <w:t>[aggregate collateral threshold to be provided by Credit]</w:t>
      </w:r>
      <w:r>
        <w:rPr>
          <w:iCs/>
          <w:sz w:val="22"/>
        </w:rPr>
        <w:t xml:space="preserve">, and, with respect to Counterparty Party, an aggregate amount equal to </w:t>
      </w:r>
      <w:r>
        <w:rPr>
          <w:b/>
          <w:bCs/>
          <w:iCs/>
          <w:sz w:val="22"/>
        </w:rPr>
        <w:t>[</w:t>
      </w:r>
      <w:r>
        <w:rPr>
          <w:iCs/>
          <w:sz w:val="22"/>
        </w:rPr>
        <w:t>U.S.</w:t>
      </w:r>
      <w:r>
        <w:rPr>
          <w:b/>
          <w:bCs/>
          <w:iCs/>
          <w:sz w:val="24"/>
        </w:rPr>
        <w:t>]</w:t>
      </w:r>
      <w:r>
        <w:rPr>
          <w:iCs/>
          <w:sz w:val="22"/>
        </w:rPr>
        <w:t xml:space="preserve">$ </w:t>
      </w:r>
      <w:r>
        <w:rPr>
          <w:b/>
          <w:iCs/>
          <w:sz w:val="22"/>
        </w:rPr>
        <w:t>[aggregate collateral threshold to be provided by Credit]</w:t>
      </w:r>
      <w:r>
        <w:rPr>
          <w:iCs/>
          <w:sz w:val="22"/>
        </w:rPr>
        <w:t>; provided, in each case the Exposure Threshold shall be zero upon the occurrence and during the continuance of a "</w:t>
      </w:r>
      <w:r>
        <w:rPr>
          <w:iCs/>
          <w:sz w:val="22"/>
          <w:u w:val="single"/>
        </w:rPr>
        <w:t>Material Adverse Change</w:t>
      </w:r>
      <w:r>
        <w:rPr>
          <w:iCs/>
          <w:sz w:val="22"/>
        </w:rPr>
        <w:t xml:space="preserve">" </w:t>
      </w:r>
      <w:r>
        <w:rPr>
          <w:b/>
          <w:bCs/>
          <w:iCs/>
          <w:sz w:val="22"/>
        </w:rPr>
        <w:t>[</w:t>
      </w:r>
      <w:r>
        <w:rPr>
          <w:iCs/>
          <w:sz w:val="22"/>
        </w:rPr>
        <w:t>(if any, and as defined in any Underlying Master Agreement as to any Party)</w:t>
      </w:r>
      <w:r>
        <w:rPr>
          <w:b/>
          <w:bCs/>
          <w:iCs/>
          <w:sz w:val="22"/>
        </w:rPr>
        <w:t>]</w:t>
      </w:r>
      <w:r>
        <w:rPr>
          <w:iCs/>
          <w:sz w:val="22"/>
        </w:rPr>
        <w:t xml:space="preserve"> </w:t>
      </w:r>
      <w:r>
        <w:rPr>
          <w:b/>
          <w:bCs/>
          <w:iCs/>
          <w:sz w:val="22"/>
        </w:rPr>
        <w:t>[</w:t>
      </w:r>
      <w:r>
        <w:rPr>
          <w:iCs/>
          <w:sz w:val="22"/>
        </w:rPr>
        <w:t>(as below defined)</w:t>
      </w:r>
      <w:r>
        <w:rPr>
          <w:b/>
          <w:bCs/>
          <w:iCs/>
          <w:sz w:val="22"/>
        </w:rPr>
        <w:t>]</w:t>
      </w:r>
      <w:r>
        <w:rPr>
          <w:iCs/>
          <w:sz w:val="22"/>
        </w:rPr>
        <w:t xml:space="preserve">, a Default, or any event which, with the giving of notice or the lapse of time or both, would constitute a Default.  </w:t>
      </w:r>
      <w:r>
        <w:rPr>
          <w:b/>
          <w:bCs/>
          <w:iCs/>
          <w:sz w:val="22"/>
        </w:rPr>
        <w:t xml:space="preserve">[If there is no MAC in any Underlying Master Agreement or a new MAC for the aggregate position is desired, credit should provide the appropriate MAC and the applicable definitions should be incorporated in Section 1.  If the new MAC is to override MACs in Underlying Master Agreements during the term of this Agreement, then provide for such here.]  </w:t>
      </w:r>
      <w:r>
        <w:rPr>
          <w:iCs/>
          <w:sz w:val="22"/>
        </w:rPr>
        <w:t>N</w:t>
      </w:r>
      <w:r>
        <w:rPr>
          <w:sz w:val="22"/>
        </w:rPr>
        <w:t xml:space="preserve">otwithstanding the fact that other of the Underlying Master Agreements may provide otherwise, the evaluation of aggregate exposures and the Collateral requirements (including as to type and amount) under this Agreement shall occur in accordance with the provisions, criteria, and timing for such purpose, set forth in </w:t>
      </w:r>
      <w:r>
        <w:rPr>
          <w:b/>
          <w:bCs/>
          <w:sz w:val="22"/>
        </w:rPr>
        <w:t>[identify the credit annex of the specific Underlying Master Agreement to control] [</w:t>
      </w:r>
      <w:r>
        <w:rPr>
          <w:sz w:val="22"/>
        </w:rPr>
        <w:t>(together with the Paragraph 13 applicable thereto, the "Credit Annex")</w:t>
      </w:r>
      <w:r>
        <w:rPr>
          <w:b/>
          <w:bCs/>
          <w:sz w:val="22"/>
        </w:rPr>
        <w:t>] [</w:t>
      </w:r>
      <w:r>
        <w:rPr>
          <w:sz w:val="22"/>
        </w:rPr>
        <w:t>, including, without limitation, such provisions, criteria, and timing applicable to "Transfer Timing" set forth in Paragraph 4(b) of the Credit Annex and "Events of Default" set forth in Paragraph 7 of the Credit Annex;</w:t>
      </w:r>
      <w:r>
        <w:rPr>
          <w:b/>
          <w:bCs/>
          <w:sz w:val="22"/>
        </w:rPr>
        <w:t>]</w:t>
      </w:r>
      <w:r>
        <w:rPr>
          <w:sz w:val="22"/>
        </w:rPr>
        <w:t xml:space="preserve"> provided, (i) each Exposure Threshold shall apply to this Agreement and shall be treated in the same manner as "Threshold" is treated in </w:t>
      </w:r>
      <w:r>
        <w:rPr>
          <w:b/>
          <w:bCs/>
          <w:sz w:val="22"/>
        </w:rPr>
        <w:t>[</w:t>
      </w:r>
      <w:r>
        <w:rPr>
          <w:sz w:val="22"/>
        </w:rPr>
        <w:t>Paragraph 3 of the Credit Annex</w:t>
      </w:r>
      <w:r>
        <w:rPr>
          <w:b/>
          <w:bCs/>
          <w:sz w:val="22"/>
        </w:rPr>
        <w:t>]</w:t>
      </w:r>
      <w:r>
        <w:rPr>
          <w:sz w:val="22"/>
        </w:rPr>
        <w:t xml:space="preserve"> and (ii) the Letter of Credit provisions and any form for a Letter of Credit are hereby conformed to the requirements set forth above in Section 6(f).</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OmniPage5"/>
        <w:ind w:firstLine="722" w:start="87" w:end="10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sections, are for convenience of reference only and shall not affect the interpretation or construction of this Agreement.</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Jurisdiction.  </w:t>
      </w:r>
      <w:r>
        <w:rPr>
          <w:bCs/>
          <w:sz w:val="22"/>
        </w:rPr>
        <w:t>Subject to Section 16, a</w:t>
      </w:r>
      <w:r>
        <w:rPr>
          <w:sz w:val="22"/>
        </w:rPr>
        <w:t>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pPr>
      <w:r>
        <w:rPr>
          <w:bCs/>
          <w:sz w:val="22"/>
        </w:rPr>
        <w:t xml:space="preserve">(d)  Other than as expressly set forth in this Section 11, this Agreement shall not be assigned </w:t>
      </w:r>
      <w:r>
        <w:rPr>
          <w:sz w:val="22"/>
        </w:rPr>
        <w:t xml:space="preserve">(whether by way of security or otherwise) </w:t>
      </w:r>
      <w:r>
        <w:rPr>
          <w:bCs/>
          <w:sz w:val="22"/>
        </w:rPr>
        <w:t xml:space="preserve">by Enron Party or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(e)  Any purported assignment or other transfer that is not in compliance herewith shall be void.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(f)  This Agreement may not be amended except by an amendment to this Agreement signed by each Party.  Confirmations of Transactions under any Underlying Master Agreement shall not serve as an amendment.  </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w:t>
      </w:r>
    </w:p>
    <w:p>
      <w:pPr>
        <w:pStyle w:val="Normal"/>
        <w:keepNext w:val="true"/>
        <w:spacing w:lineRule="exact" w:line="240" w:before="240" w:after="0"/>
        <w:ind w:hanging="720" w:start="720" w:end="0"/>
        <w:jc w:val="both"/>
        <w:rPr>
          <w:sz w:val="22"/>
          <w:szCs w:val="22"/>
        </w:rPr>
      </w:pPr>
      <w:r>
        <w:rPr>
          <w:sz w:val="22"/>
          <w:szCs w:val="22"/>
        </w:rPr>
        <w:t>Address for notices or communications to Enron Party:</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Party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Party:</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(it being agreed that the burden of proving receipt will be on the sender and will not be met by a transmission report generated by the sender’s facsimile machine);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on a Business Day, in which case that communication shall be deemed given and effective on the first following day that is a Business Day.  Either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hereof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szCs w:val="22"/>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Party and Counterparty Party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PARTY"</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PARTY"</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/mnt/main-storage/datasets/enron-docs/doc/Master_Netting___Security_Agmnt_c.doc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2001-05-11T10:44:00Z</dcterms:created>
  <dc:creator>mcook</dc:creator>
  <dc:description/>
  <dc:language>en-CA</dc:language>
  <cp:lastModifiedBy>mcook</cp:lastModifiedBy>
  <cp:lastPrinted>2001-05-11T08:18:00Z</cp:lastPrinted>
  <dcterms:modified xsi:type="dcterms:W3CDTF">2001-05-11T10:48:00Z</dcterms:modified>
  <cp:revision>4</cp:revision>
  <dc:subject/>
  <dc:title>MASTER CROSS﷓PRODUCT NETTING AND SECURITY AGREEMENT</dc:title>
</cp:coreProperties>
</file>