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11/06/01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(including the Collateral Annex,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Enron Group, an amount equal to </w:t>
      </w:r>
      <w:r>
        <w:rPr>
          <w:b/>
          <w:sz w:val="22"/>
        </w:rPr>
        <w:t>[US]</w:t>
      </w:r>
      <w:r>
        <w:rPr>
          <w:sz w:val="22"/>
        </w:rPr>
        <w:t>$</w:t>
      </w:r>
      <w:r>
        <w:rPr>
          <w:b/>
          <w:sz w:val="22"/>
        </w:rPr>
        <w:t>[to be provided by Credit]</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Group, an amount equal to </w:t>
      </w:r>
      <w:r>
        <w:rPr>
          <w:b/>
          <w:sz w:val="22"/>
        </w:rPr>
        <w:t>[US]</w:t>
      </w:r>
      <w:r>
        <w:rPr>
          <w:sz w:val="22"/>
        </w:rPr>
        <w:t>$</w:t>
      </w:r>
      <w:r>
        <w:rPr>
          <w:b/>
          <w:sz w:val="22"/>
        </w:rPr>
        <w:t>[to be provided by Credit]</w:t>
      </w:r>
      <w:r>
        <w:rPr>
          <w:sz w:val="22"/>
        </w:rPr>
        <w:t>;</w:t>
      </w:r>
    </w:p>
    <w:p>
      <w:pPr>
        <w:pStyle w:val="Normal"/>
        <w:ind w:firstLine="720" w:end="0"/>
        <w:jc w:val="both"/>
        <w:rPr>
          <w:sz w:val="22"/>
        </w:rPr>
      </w:pPr>
      <w:r>
        <w:rPr>
          <w:sz w:val="22"/>
        </w:rPr>
      </w:r>
    </w:p>
    <w:p>
      <w:pPr>
        <w:pStyle w:val="Normal"/>
        <w:jc w:val="both"/>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 provided, no contractual right to terminate Transactions under an Underlying Master Agreement occasioned by a change in law or regulation or on the basis of an illegality shall be considered a Default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(e)  Notwithstanding any provisions of any of the Underlying Master Agreements, each Letter of Credit permitted as Collateral issued for the account of any Counterparty Party shall name ENA for itself and as agent for </w:t>
      </w:r>
      <w:r>
        <w:rPr>
          <w:b/>
          <w:bCs/>
          <w:sz w:val="22"/>
        </w:rPr>
        <w:t>[list each other Enron Party]</w:t>
      </w:r>
      <w:r>
        <w:rPr>
          <w:sz w:val="22"/>
        </w:rPr>
        <w:t xml:space="preserve"> as beneficiary thereof, and each Letter of Credit permitted as credit support thereunder issued for the account of any Enron Party shall name </w:t>
      </w:r>
      <w:r>
        <w:rPr>
          <w:b/>
          <w:bCs/>
          <w:sz w:val="22"/>
        </w:rPr>
        <w:t>X</w:t>
      </w:r>
      <w:r>
        <w:rPr>
          <w:sz w:val="22"/>
        </w:rPr>
        <w:t xml:space="preserve"> for itself and as agent for </w:t>
      </w:r>
      <w:r>
        <w:rPr>
          <w:b/>
          <w:bCs/>
          <w:sz w:val="22"/>
        </w:rPr>
        <w:t>[list each other Counterparty Party]</w:t>
      </w:r>
      <w:r>
        <w:rPr>
          <w:sz w:val="22"/>
        </w:rPr>
        <w:t xml:space="preserve">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Each Party agrees that if any Underlying Master Agreement provides for a limitation on the number of days for which Force Majeure may be claimed thereunder, the Underlying Master Agreement is hereby amended to delete such limitation therefrom and the Force Majeure may be claimed from its inception and during the continuance thereof without respect to any limitation on the number of days.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/mnt/main-storage/datasets/enron-docs/doc/Master_Netting___Security_Agmnt_10_h_v1-c1fb9ec20b70a341dae730f537877839758df61a806860de08ef46774f9d58b9.doc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2001-11-06T11:15:00Z</dcterms:created>
  <dc:creator>mcook</dc:creator>
  <dc:description/>
  <dc:language>en-CA</dc:language>
  <cp:lastModifiedBy>mcook</cp:lastModifiedBy>
  <cp:lastPrinted>2001-11-06T08:20:00Z</cp:lastPrinted>
  <dcterms:modified xsi:type="dcterms:W3CDTF">2001-11-06T12:03:00Z</dcterms:modified>
  <cp:revision>9</cp:revision>
  <dc:subject/>
  <dc:title>MASTER CROSS﷓PRODUCT NETTING AND SECURITY AGREEMENT</dc:title>
</cp:coreProperties>
</file>