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SETOFF,</w:t>
      </w:r>
    </w:p>
    <w:p>
      <w:pPr>
        <w:pStyle w:val="Normal"/>
        <w:jc w:val="center"/>
        <w:rPr>
          <w:b/>
          <w:bCs/>
          <w:sz w:val="22"/>
        </w:rPr>
      </w:pPr>
      <w:r>
        <w:rPr>
          <w:b/>
          <w:bCs/>
          <w:sz w:val="22"/>
        </w:rPr>
        <w:t>AND SECURITY AGREEMENT</w:t>
      </w:r>
    </w:p>
    <w:p>
      <w:pPr>
        <w:pStyle w:val="Normal"/>
        <w:jc w:val="center"/>
        <w:rPr>
          <w:b/>
          <w:bCs/>
          <w:sz w:val="22"/>
          <w:u w:val="single"/>
        </w:rPr>
      </w:pPr>
      <w:r>
        <w:rPr>
          <w:b/>
          <w:bCs/>
          <w:sz w:val="22"/>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in connection with a financing as security or otherwise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and the replacement of each such automatic termination provision with a right of the non-defaulting party to terminate such Underlying Master Agreement upon the occurrence of the events giving rise to such automatic termination.  Except as amended by this Agreement, the Underlying Master Agreements shall remain in full force and effect.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p>
    <w:p>
      <w:pPr>
        <w:pStyle w:val="Normal"/>
        <w:tabs>
          <w:tab w:val="clear" w:pos="720"/>
          <w:tab w:val="left" w:pos="1260" w:leader="none"/>
        </w:tabs>
        <w:ind w:firstLine="720" w:end="0"/>
        <w:jc w:val="both"/>
        <w:rPr>
          <w:sz w:val="22"/>
        </w:rPr>
      </w:pPr>
      <w:r>
        <w:rPr>
          <w:sz w:val="22"/>
        </w:rPr>
      </w:r>
    </w:p>
    <w:p>
      <w:pPr>
        <w:pStyle w:val="Normal"/>
        <w:ind w:firstLine="720" w:end="0"/>
        <w:jc w:val="both"/>
        <w:rPr>
          <w:sz w:val="22"/>
        </w:rPr>
      </w:pPr>
      <w:r>
        <w:rPr>
          <w:sz w:val="22"/>
        </w:rPr>
        <w:t xml:space="preserve">(d) In the event that this Agreement is deemed or held to be invalid, illegal, or unenforceable, notwithstanding the intention of the Parties set forth in Section 14(c), the provisions of this Agreement that amend the Underlying Master Agreements (i) to delete any automatic termination provisions as contemplated by Section 14(a)(ii), (ii) to provide for full two-way payment as contemplated by Section 14(b), (iii) to provide that all, rather than only some, Transactions under an Underlying Master Agreement must be terminated, liquidated, cancelled and otherwise closed-out upon certain conditions as conntemplated by Section 14(a)(i), and (iv) to permit assignment by a Party to an Affiliate of an Underlying Master Agreement and the Transactions thereunder as contemplated by Section 11, shall survive any determination that this Agreement is invalid, illegal, unenforceable, null and void, or without force or effect. </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b/>
          <w:bCs/>
          <w:sz w:val="22"/>
        </w:rPr>
        <w:t xml:space="preserve">17.  </w:t>
      </w:r>
      <w:r>
        <w:rPr>
          <w:b/>
          <w:bCs/>
          <w:sz w:val="22"/>
          <w:szCs w:val="22"/>
        </w:rPr>
        <w:t xml:space="preserve">LIMITATION OF LIABILITY.  NO PARTY SHALL BE REQUIRED TO PAY OR BE LIABLE FOR SPECIAL, PUNITIVE, EXEMPLARY, INCIDENTAL, CONSEQUENTIAL, OR INDIRECT DAMAGES (WHETHER OR NOT ARISING FROM ITS NEGLIGENCE) TO ANY OTHER PARTY; PROVIDED, NOTHING IN THIS PROVISION SHALL AFFECT THE ENFORCEABILITY OF SECTIONS 2 AND 4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jc w:val="both"/>
        <w:rPr>
          <w:b/>
          <w:bCs/>
          <w:color w:val="FF0000"/>
          <w:sz w:val="22"/>
          <w:szCs w:val="22"/>
        </w:rPr>
      </w:pPr>
      <w:r>
        <w:rPr>
          <w:b/>
          <w:bCs/>
          <w:color w:val="FF0000"/>
          <w:sz w:val="22"/>
          <w:szCs w:val="22"/>
        </w:rPr>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18.  Binding Effect and Term.</w:t>
      </w:r>
      <w:r>
        <w:rPr>
          <w:sz w:val="22"/>
        </w:rPr>
        <w:t xml:space="preserve">  This Agreement shall be binding upon the Parties and the permitted assignees of any of the Parties and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/mnt/main-storage/datasets/enron-docs/doc/Master_Netting___Security_Agmnt_10_h_a_v2.doc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2001-11-16T20:40:00Z</dcterms:created>
  <dc:creator>mcook</dc:creator>
  <dc:description/>
  <dc:language>en-CA</dc:language>
  <cp:lastModifiedBy>mcook</cp:lastModifiedBy>
  <cp:lastPrinted>2001-11-27T14:43:00Z</cp:lastPrinted>
  <dcterms:modified xsi:type="dcterms:W3CDTF">2001-11-27T18:13:00Z</dcterms:modified>
  <cp:revision>17</cp:revision>
  <dc:subject/>
  <dc:title>MASTER CROSS﷓PRODUCT NETTING AND SECURITY AGREEMENT</dc:title>
</cp:coreProperties>
</file>