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(as so netted,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bookmarkStart w:id="0" w:name="_Ref523586677"/>
      <w:r>
        <w:rPr>
          <w:sz w:val="22"/>
        </w:rPr>
        <w:t xml:space="preserve">(a)  </w:t>
      </w:r>
      <w:bookmarkEnd w:id="0"/>
      <w:r>
        <w:rPr>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ind w:firstLine="720" w:end="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Each Party agrees that if any Underlying Master Agreement provides for a limitation on the number of days for which Force Majeure may be claimed thereunder, the Underlying Master Agreement is hereby amended to delete such limitation therefrom and the Force Majeure may be claimed from its inception and during the continuance thereof without respect to any limitation on the number of days.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/mnt/main-storage/datasets/enron-docs/doc/Master_Netting___Security_Agmnt_10_h_a_v1-78f153c710a86692518f3bad842a54a8522741420dd98b401f00acac6a858569.doc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2001-11-06T11:49:00Z</dcterms:created>
  <dc:creator>mcook</dc:creator>
  <dc:description/>
  <dc:language>en-CA</dc:language>
  <cp:lastModifiedBy>mcook</cp:lastModifiedBy>
  <cp:lastPrinted>2001-11-06T08:22:00Z</cp:lastPrinted>
  <dcterms:modified xsi:type="dcterms:W3CDTF">2001-11-06T12:03:00Z</dcterms:modified>
  <cp:revision>4</cp:revision>
  <dc:subject/>
  <dc:title>MASTER CROSS﷓PRODUCT NETTING AND SECURITY AGREEMENT</dc:title>
</cp:coreProperties>
</file>