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center"/>
        <w:rPr>
          <w:b/>
          <w:bCs/>
          <w:sz w:val="24"/>
          <w:u w:val="single"/>
        </w:rPr>
      </w:pPr>
      <w:r>
        <w:rPr>
          <w:b/>
          <w:bCs/>
          <w:sz w:val="24"/>
          <w:u w:val="single"/>
        </w:rPr>
        <w:t>DRAFT 10/31/01</w:t>
      </w:r>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pPr>
      <w:r>
        <w:rPr>
          <w:sz w:val="22"/>
        </w:rPr>
        <w:t>This Master Netting, Setoff, and Security Agreement (this "</w:t>
      </w:r>
      <w:r>
        <w:rPr>
          <w:sz w:val="22"/>
          <w:u w:val="single"/>
        </w:rPr>
        <w:t>Agreement</w:t>
      </w:r>
      <w:r>
        <w:rPr>
          <w:sz w:val="22"/>
        </w:rPr>
        <w:t xml:space="preserve">") is made and entered into effective as of _______________, 200_ by and among </w:t>
      </w:r>
      <w:r>
        <w:rPr>
          <w:b/>
          <w:bCs/>
          <w:sz w:val="22"/>
        </w:rPr>
        <w:t>[list counterparty X and each affiliated party to this agreement, each with acronym]</w:t>
      </w:r>
      <w:r>
        <w:rPr>
          <w:sz w:val="22"/>
        </w:rPr>
        <w:t>, and Enron North America Corp. ("</w:t>
      </w:r>
      <w:r>
        <w:rPr>
          <w:sz w:val="22"/>
          <w:u w:val="single"/>
        </w:rPr>
        <w:t>ENA</w:t>
      </w:r>
      <w:r>
        <w:rPr>
          <w:sz w:val="22"/>
        </w:rPr>
        <w:t>"), Enron Power Marketing, Inc. ("</w:t>
      </w:r>
      <w:r>
        <w:rPr>
          <w:sz w:val="22"/>
          <w:u w:val="single"/>
        </w:rPr>
        <w:t>EPMI</w:t>
      </w:r>
      <w:r>
        <w:rPr>
          <w:sz w:val="22"/>
        </w:rPr>
        <w:t xml:space="preserve">") </w:t>
      </w:r>
      <w:r>
        <w:rPr>
          <w:b/>
          <w:bCs/>
          <w:sz w:val="22"/>
        </w:rPr>
        <w:t>[list any other Enron entities, each with acronym]</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ISDA </w:t>
      </w:r>
      <w:r>
        <w:rPr>
          <w:b/>
          <w:bCs/>
          <w:sz w:val="22"/>
        </w:rPr>
        <w:t>[</w:t>
      </w:r>
      <w:r>
        <w:rPr>
          <w:sz w:val="22"/>
        </w:rPr>
        <w:t>or other</w:t>
      </w:r>
      <w:r>
        <w:rPr>
          <w:b/>
          <w:bCs/>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b/>
          <w:bCs/>
          <w:sz w:val="22"/>
        </w:rPr>
        <w:t>[Name parties]</w:t>
      </w:r>
      <w:r>
        <w:rPr>
          <w:sz w:val="22"/>
        </w:rPr>
        <w:t xml:space="preserve"> have entered into various confirmations and general terms and conditions in the nature of </w:t>
      </w:r>
      <w:r>
        <w:rPr>
          <w:b/>
          <w:bCs/>
          <w:sz w:val="22"/>
        </w:rPr>
        <w:t>[</w:t>
      </w:r>
      <w:r>
        <w:rPr>
          <w:sz w:val="22"/>
        </w:rPr>
        <w:t>"forward contracts"</w:t>
      </w:r>
      <w:r>
        <w:rPr>
          <w:b/>
          <w:bCs/>
          <w:sz w:val="22"/>
        </w:rPr>
        <w:t>] [</w:t>
      </w:r>
      <w:r>
        <w:rPr>
          <w:sz w:val="22"/>
        </w:rPr>
        <w:t>and</w:t>
      </w:r>
      <w:r>
        <w:rPr>
          <w:b/>
          <w:bCs/>
          <w:sz w:val="22"/>
        </w:rPr>
        <w:t>] [</w:t>
      </w:r>
      <w:r>
        <w:rPr>
          <w:sz w:val="22"/>
        </w:rPr>
        <w:t>"swap agreements"</w:t>
      </w:r>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b/>
          <w:bCs/>
          <w:sz w:val="22"/>
        </w:rPr>
        <w:t>[</w:t>
      </w:r>
      <w:r>
        <w:rPr>
          <w:sz w:val="22"/>
        </w:rPr>
        <w:t>list other agreements among named parties</w:t>
      </w:r>
      <w:r>
        <w:rPr>
          <w:b/>
          <w:bCs/>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the Physical Power Master Agreement, and the Other Agreements </w:t>
      </w:r>
      <w:r>
        <w:rPr>
          <w:b/>
          <w:bCs/>
          <w:sz w:val="22"/>
        </w:rPr>
        <w:t>[</w:t>
      </w:r>
      <w:r>
        <w:rPr>
          <w:sz w:val="22"/>
        </w:rPr>
        <w:t>list other agreement identifiers</w:t>
      </w:r>
      <w:r>
        <w:rPr>
          <w:b/>
          <w:bCs/>
          <w:sz w:val="22"/>
        </w:rPr>
        <w:t>]</w:t>
      </w:r>
      <w:r>
        <w:rPr>
          <w:sz w:val="22"/>
        </w:rPr>
        <w:t xml:space="preserve">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and setoff upon a Default by any Counterparty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and setoff upon a Default by any Enron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in accordance with each Underlying Master Agreement by any one or more than one Enron Party or Counterparty Party, as applicable, 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pPr>
      <w:r>
        <w:rPr>
          <w:b/>
          <w:bCs/>
          <w:sz w:val="22"/>
        </w:rPr>
        <w:t>[</w:t>
      </w:r>
      <w:r>
        <w:rPr>
          <w:sz w:val="22"/>
        </w:rPr>
        <w:t>"</w:t>
      </w:r>
      <w:r>
        <w:rPr>
          <w:sz w:val="22"/>
          <w:u w:val="single"/>
        </w:rPr>
        <w:t>Counterparty Group Guaranty Agreement</w:t>
      </w:r>
      <w:r>
        <w:rPr>
          <w:sz w:val="22"/>
        </w:rPr>
        <w:t xml:space="preserve">" means the guaranty agreement of </w:t>
      </w:r>
      <w:r>
        <w:rPr>
          <w:b/>
          <w:bCs/>
          <w:sz w:val="22"/>
        </w:rPr>
        <w:t>__________</w:t>
      </w:r>
      <w:r>
        <w:rPr>
          <w:sz w:val="22"/>
        </w:rPr>
        <w:t xml:space="preserve"> to be delivered to Enron Group pursuant to this Agreement.</w:t>
      </w:r>
      <w:r>
        <w:rPr>
          <w:b/>
          <w:bCs/>
          <w:sz w:val="22"/>
        </w:rPr>
        <w:t>]</w:t>
      </w:r>
    </w:p>
    <w:p>
      <w:pPr>
        <w:pStyle w:val="Normal"/>
        <w:jc w:val="both"/>
        <w:rPr>
          <w:b/>
          <w:bCs/>
          <w:sz w:val="22"/>
        </w:rPr>
      </w:pPr>
      <w:r>
        <w:rPr>
          <w:b/>
          <w:bCs/>
          <w:sz w:val="22"/>
        </w:rPr>
      </w:r>
    </w:p>
    <w:p>
      <w:pPr>
        <w:pStyle w:val="OmniPage5"/>
        <w:ind w:firstLine="720" w:end="0"/>
        <w:jc w:val="both"/>
        <w:rPr/>
      </w:pPr>
      <w:r>
        <w:rPr>
          <w:sz w:val="22"/>
        </w:rPr>
        <w:t>"</w:t>
      </w:r>
      <w:r>
        <w:rPr>
          <w:sz w:val="22"/>
          <w:u w:val="single"/>
        </w:rPr>
        <w:t>Counterparty Party</w:t>
      </w:r>
      <w:r>
        <w:rPr>
          <w:sz w:val="22"/>
        </w:rPr>
        <w:t xml:space="preserve">" means </w:t>
      </w:r>
      <w:r>
        <w:rPr>
          <w:b/>
          <w:bCs/>
          <w:sz w:val="22"/>
        </w:rPr>
        <w:t>X</w:t>
      </w:r>
      <w:r>
        <w:rPr>
          <w:sz w:val="22"/>
        </w:rPr>
        <w:t xml:space="preserve">, </w:t>
      </w:r>
      <w:r>
        <w:rPr>
          <w:b/>
          <w:bCs/>
          <w:sz w:val="22"/>
        </w:rPr>
        <w:t>[list other acronyms]</w:t>
      </w:r>
      <w:r>
        <w:rPr>
          <w:sz w:val="22"/>
        </w:rPr>
        <w:t>.</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pPr>
      <w:r>
        <w:rPr>
          <w:b/>
          <w:bCs/>
          <w:sz w:val="22"/>
        </w:rPr>
        <w:t>[</w:t>
      </w:r>
      <w:r>
        <w:rPr>
          <w:sz w:val="22"/>
        </w:rPr>
        <w:t>"</w:t>
      </w:r>
      <w:r>
        <w:rPr>
          <w:sz w:val="22"/>
          <w:u w:val="single"/>
        </w:rPr>
        <w:t>Enron Group Guaranty Agreement</w:t>
      </w:r>
      <w:r>
        <w:rPr>
          <w:sz w:val="22"/>
        </w:rPr>
        <w:t>" means the guaranty agreement of Enron Corp. to be delivered to Counterparty Group pursuant to this Agreement.</w:t>
      </w:r>
      <w:r>
        <w:rPr>
          <w:b/>
          <w:bCs/>
          <w:sz w:val="22"/>
        </w:rPr>
        <w:t>]</w:t>
      </w:r>
    </w:p>
    <w:p>
      <w:pPr>
        <w:pStyle w:val="OmniPage5"/>
        <w:ind w:firstLine="710" w:start="50" w:end="100"/>
        <w:jc w:val="both"/>
        <w:rPr>
          <w:b/>
          <w:bCs/>
          <w:sz w:val="22"/>
          <w:u w:val="single"/>
        </w:rPr>
      </w:pPr>
      <w:r>
        <w:rPr>
          <w:b/>
          <w:bCs/>
          <w:sz w:val="22"/>
          <w:u w:val="single"/>
        </w:rPr>
      </w:r>
    </w:p>
    <w:p>
      <w:pPr>
        <w:pStyle w:val="OmniPage5"/>
        <w:ind w:firstLine="670" w:start="50" w:end="100"/>
        <w:jc w:val="both"/>
        <w:rPr>
          <w:sz w:val="22"/>
          <w:u w:val="single"/>
        </w:rPr>
      </w:pPr>
      <w:r>
        <w:rPr>
          <w:sz w:val="22"/>
        </w:rPr>
        <w:t>"</w:t>
      </w:r>
      <w:r>
        <w:rPr>
          <w:sz w:val="22"/>
          <w:u w:val="single"/>
        </w:rPr>
        <w:t>Enron Party</w:t>
      </w:r>
      <w:r>
        <w:rPr>
          <w:sz w:val="22"/>
        </w:rPr>
        <w:t xml:space="preserve">" means any of ENA, EPMI, </w:t>
      </w:r>
      <w:r>
        <w:rPr>
          <w:b/>
          <w:bCs/>
          <w:sz w:val="22"/>
        </w:rPr>
        <w:t>[list other acronyms]</w:t>
      </w:r>
      <w:r>
        <w:rPr>
          <w:sz w:val="22"/>
        </w:rPr>
        <w:t>.</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pPr>
      <w:r>
        <w:rPr>
          <w:b/>
          <w:bCs/>
          <w:sz w:val="22"/>
        </w:rPr>
        <w:t>[</w:t>
      </w:r>
      <w:r>
        <w:rPr>
          <w:sz w:val="22"/>
        </w:rPr>
        <w:t>"</w:t>
      </w:r>
      <w:r>
        <w:rPr>
          <w:sz w:val="22"/>
          <w:u w:val="single"/>
        </w:rPr>
        <w:t>Guarantor</w:t>
      </w:r>
      <w:r>
        <w:rPr>
          <w:sz w:val="22"/>
        </w:rPr>
        <w:t>" means with respect to Enron Group, Enron Corp., and with respect to Counterparty Group, ____________________.</w:t>
      </w:r>
      <w:r>
        <w:rPr>
          <w:b/>
          <w:bCs/>
          <w:sz w:val="22"/>
        </w:rPr>
        <w:t>]</w:t>
      </w:r>
      <w:r>
        <w:rPr>
          <w:sz w:val="22"/>
        </w:rPr>
        <w:t xml:space="preserve">  </w:t>
      </w:r>
      <w:r>
        <w:rPr>
          <w:b/>
          <w:bCs/>
          <w:sz w:val="22"/>
        </w:rPr>
        <w:t>[If one or more guarantors are included, provisions regarding guaranties are to be added.  See User Notes.]</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posted in respect of any Obligations of any Party in accordance with an Underlying Master Agreement.</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or a Transaction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EPMI, </w:t>
      </w:r>
      <w:r>
        <w:rPr>
          <w:b/>
          <w:bCs/>
          <w:sz w:val="22"/>
        </w:rPr>
        <w:t>[list other party acronyms]</w:t>
      </w:r>
      <w:r>
        <w:rPr>
          <w:sz w:val="22"/>
        </w:rPr>
        <w:t xml:space="preserve">, </w:t>
      </w:r>
      <w:r>
        <w:rPr>
          <w:b/>
          <w:bCs/>
          <w:sz w:val="22"/>
        </w:rPr>
        <w:t>X</w:t>
      </w:r>
      <w:r>
        <w:rPr>
          <w:sz w:val="22"/>
        </w:rPr>
        <w:t xml:space="preserve">, </w:t>
      </w:r>
      <w:r>
        <w:rPr>
          <w:b/>
          <w:bCs/>
          <w:sz w:val="22"/>
        </w:rPr>
        <w:t>[list other party acronyms]</w:t>
      </w:r>
      <w:r>
        <w:rPr>
          <w:sz w:val="22"/>
        </w:rPr>
        <w:t xml:space="preserve">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(including automatic early termination, if applicable),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constitutes a "</w:t>
      </w:r>
      <w:r>
        <w:rPr>
          <w:sz w:val="22"/>
          <w:u w:val="single"/>
        </w:rPr>
        <w:t>Default</w:t>
      </w:r>
      <w:r>
        <w:rPr>
          <w:sz w:val="22"/>
        </w:rPr>
        <w: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exercise rights to apply Collateral pursuant to all rights granted, and as specified in, its Underlying Master Agreements; (iv) retain any Collateral; (v) with respect to each Defaulting Party, withhold payment and performance of each Non-defaulting Party's Obligations to each Defaulting Party to pay, secure, setoff against, net, and/or recoup such Defaulting Party's Obligations to such Non-defaulting Party; (vi) convert any Obligation from one currency into another currency as set forth in Section 5; and (vii)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Group's exercise of the Underlying Master Agreements Close-Out, the Settlement Amounts under the Underlying Master Agreements shall be netted (as so netted, the "</w:t>
      </w:r>
      <w:r>
        <w:rPr>
          <w:sz w:val="22"/>
          <w:u w:val="single"/>
        </w:rPr>
        <w:t>Final Settlement Amount</w:t>
      </w:r>
      <w:r>
        <w:rPr>
          <w:sz w:val="22"/>
        </w:rPr>
        <w:t xml:space="preserve">").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bookmarkStart w:id="0" w:name="_Ref523586677"/>
      <w:r>
        <w:rPr>
          <w:sz w:val="22"/>
        </w:rPr>
        <w:t xml:space="preserve">(a)  </w:t>
      </w:r>
      <w:bookmarkEnd w:id="0"/>
      <w:r>
        <w:rPr>
          <w:sz w:val="22"/>
        </w:rPr>
        <w:t xml:space="preserve">The exposure thresholds and Collateral requirements set forth in the Underlying Master Agreements shall continue to be effective between the Parties to each such Underlying Master Agreement as therein stated.  </w:t>
      </w:r>
    </w:p>
    <w:p>
      <w:pPr>
        <w:pStyle w:val="Normal"/>
        <w:ind w:firstLine="720" w:end="0"/>
        <w:jc w:val="both"/>
        <w:rPr>
          <w:sz w:val="22"/>
        </w:rPr>
      </w:pPr>
      <w:r>
        <w:rPr>
          <w:sz w:val="22"/>
        </w:rPr>
      </w:r>
    </w:p>
    <w:p>
      <w:pPr>
        <w:pStyle w:val="Normal"/>
        <w:tabs>
          <w:tab w:val="clear" w:pos="720"/>
          <w:tab w:val="left" w:pos="0" w:leader="none"/>
        </w:tabs>
        <w:suppressAutoHyphens w:val="true"/>
        <w:autoSpaceDE w:val="false"/>
        <w:jc w:val="both"/>
        <w:rPr/>
      </w:pPr>
      <w:r>
        <w:rPr>
          <w:sz w:val="22"/>
        </w:rPr>
        <w:tab/>
        <w:t xml:space="preserve">(b)  </w:t>
      </w:r>
      <w:r>
        <w:rPr>
          <w:sz w:val="22"/>
          <w:szCs w:val="22"/>
        </w:rPr>
        <w:t>As security for the prompt and complete payment and performance of all Obligations of Enron Group, each member of Enron Group hereby pledges, assigns, conveys, and transfers to each member of Counterparty Group, and hereby grants to Counterparty Group and each member thereof a present and continuing first priority security interest in and to, and a general first lien upon and right of setoff against all right, title, and interest any member of Enron Group has in any Obligations of any member of Counterparty Group to any member of Enron Group, together with all contract rights in respect of such Obligations, other than any Final Settlement Amount payable by Counterparty Group to Enron Group.  As security for the prompt and complete payment and performance of all Obligations of Counterparty Group, each member of Counterparty Group hereby pledges, assigns, conveys, and transfers to each member of Enron Group, and hereby grants to Enron Group and each member thereof a present and continuing first priority security interest in and to, and a general first lien upon and right of setoff against all right, title, and interest any member of Counterparty Group has in any Obligations of any member of Enron Group to any member of Counterparty Group, together with all contract rights in respect of such Obligations, other than any Final Settlement Amount payable by Enron Group to Counterparty Group.  Each member of each Group agrees to take such action as the other Group reasonably requests in order to perfect the other Group's and its members' continuing security interest in, lien on, and right of setoff against the foregoing interests and grants authority to the other Group to file financing statements or take such other actions necessary to perfect the foregoing interests.</w:t>
      </w:r>
    </w:p>
    <w:p>
      <w:pPr>
        <w:pStyle w:val="Normal"/>
        <w:ind w:firstLine="720" w:end="0"/>
        <w:jc w:val="both"/>
        <w:rPr>
          <w:sz w:val="22"/>
          <w:szCs w:val="22"/>
        </w:rPr>
      </w:pPr>
      <w:r>
        <w:rPr>
          <w:sz w:val="22"/>
          <w:szCs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 xml:space="preserve">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r>
        <w:br w:type="page"/>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[NAME]</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rPr>
      </w:pPr>
      <w:r>
        <w:rPr>
          <w:b/>
          <w:bCs/>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p>
      <w:pPr>
        <w:pStyle w:val="Normal"/>
        <w:jc w:val="both"/>
        <w:rPr>
          <w:sz w:val="22"/>
        </w:rPr>
      </w:pPr>
      <w:r>
        <w:rPr>
          <w:sz w:val="22"/>
        </w:rPr>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/mnt/main-storage/datasets/enron-docs/doc/Master_Netting___Security_Agmnt_10_h_a_1.doc</w:t>
    </w:r>
    <w:r>
      <w:rPr>
        <w:rStyle w:val="PageNumber"/>
        <w:sz w:val="18"/>
      </w:rPr>
      <w:fldChar w:fldCharType="end"/>
    </w:r>
  </w:p>
  <w:p>
    <w:pPr>
      <w:pStyle w:val="Footer"/>
      <w:rPr>
        <w:rStyle w:val="PageNumber"/>
        <w:sz w:val="18"/>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2001-10-31T20:57:00Z</dcterms:created>
  <dc:creator>mcook</dc:creator>
  <dc:description/>
  <dc:language>en-CA</dc:language>
  <cp:lastModifiedBy>mcook</cp:lastModifiedBy>
  <cp:lastPrinted>2001-10-31T15:00:00Z</cp:lastPrinted>
  <dcterms:modified xsi:type="dcterms:W3CDTF">2001-10-31T20:57:00Z</dcterms:modified>
  <cp:revision>3</cp:revision>
  <dc:subject/>
  <dc:title>MASTER CROSS﷓PRODUCT NETTING AND SECURITY AGREEMENT</dc:title>
</cp:coreProperties>
</file>