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10/31/01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pPr>
      <w:r>
        <w:rPr/>
      </w:r>
    </w:p>
    <w:p>
      <w:pPr>
        <w:pStyle w:val="Normal"/>
        <w:jc w:val="both"/>
        <w:rPr/>
      </w:pPr>
      <w:r>
        <w:rPr/>
        <w:t xml:space="preserve">2.  ABSENT SPECIAL CIRCUMSTANCES, EACH UNDERLYING MASTER AGREEMENT (1) </w:t>
      </w:r>
      <w:r>
        <w:rPr>
          <w:u w:val="single"/>
        </w:rPr>
        <w:t>MUST</w:t>
      </w:r>
      <w:r>
        <w:rPr/>
        <w:t xml:space="preserve"> INCLUDE CONDITIONAL TWO WAY PAYMENTS, A/K/A CONDITIONAL SECOND METHOD UNDER ISDA, FOR TERMINATION PAYMENTS, (2) CHERRY-PICKING UPON TERMINATION (BANKRUPTCY OR OTHERWISE) </w:t>
      </w:r>
      <w:r>
        <w:rPr>
          <w:u w:val="single"/>
        </w:rPr>
        <w:t>MUST NOT</w:t>
      </w:r>
      <w:r>
        <w:rPr/>
        <w:t xml:space="preserve"> BE ALLOWED AND (3) </w:t>
      </w:r>
      <w:r>
        <w:rPr>
          <w:u w:val="single"/>
        </w:rPr>
        <w:t>MUST NOT</w:t>
      </w:r>
      <w:r>
        <w:rPr/>
        <w:t xml:space="preserve"> INCLUDE AUTOMATIC TERMINATION UNLESS FOREIGN JURISDICTION INSOLVENCY LAW WOULD MAKE SUCH NECESSARY.  THE UNDERLYING MASTER AGREEMENTS SHOULD BE AMENDED AS NECESSARY PRIOR TO INCLUSION HEREUNDER.  </w:t>
      </w:r>
    </w:p>
    <w:p>
      <w:pPr>
        <w:pStyle w:val="Normal"/>
        <w:jc w:val="both"/>
        <w:rPr/>
      </w:pPr>
      <w:r>
        <w:rPr/>
      </w:r>
    </w:p>
    <w:p>
      <w:pPr>
        <w:pStyle w:val="Normal"/>
        <w:jc w:val="both"/>
        <w:rPr/>
      </w:pPr>
      <w:r>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pPr>
      <w:r>
        <w:rPr/>
      </w:r>
    </w:p>
    <w:p>
      <w:pPr>
        <w:pStyle w:val="Normal"/>
        <w:jc w:val="both"/>
        <w:rPr/>
      </w:pPr>
      <w:r>
        <w:rPr/>
        <w:t>4.  CONSIDER CROSS-BORDER TAX AND OTHER ISSUES, INCLUDING CANADA TAX MATTERS.</w:t>
      </w:r>
    </w:p>
    <w:p>
      <w:pPr>
        <w:pStyle w:val="Normal"/>
        <w:jc w:val="both"/>
        <w:rPr/>
      </w:pPr>
      <w:r>
        <w:rPr/>
      </w:r>
    </w:p>
    <w:p>
      <w:pPr>
        <w:pStyle w:val="Normal"/>
        <w:jc w:val="both"/>
        <w:rPr/>
      </w:pPr>
      <w:r>
        <w:rPr/>
        <w:t xml:space="preserve">5.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bCs/>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pPr>
      <w:r>
        <w:rPr/>
      </w:r>
    </w:p>
    <w:p>
      <w:pPr>
        <w:pStyle w:val="Normal"/>
        <w:jc w:val="both"/>
        <w:rPr/>
      </w:pPr>
      <w:r>
        <w:rPr/>
        <w:t>6.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pPr>
      <w:r>
        <w:rPr/>
      </w:r>
    </w:p>
    <w:p>
      <w:pPr>
        <w:pStyle w:val="Normal"/>
        <w:jc w:val="both"/>
        <w:rPr/>
      </w:pPr>
      <w:r>
        <w:rPr/>
        <w:t>7.  CANADA MATTERS:  PERFECTION OF CASH COLLATERAL SHOULD BE UNDERTAKEN IN CANADA BY MAKING REQUISITE FILINGS IN ACCORDANCE WITH CANADIAN LAW.</w:t>
      </w:r>
    </w:p>
    <w:p>
      <w:pPr>
        <w:pStyle w:val="Normal"/>
        <w:jc w:val="both"/>
        <w:rPr>
          <w:sz w:val="22"/>
        </w:rPr>
      </w:pPr>
      <w:r>
        <w:rPr>
          <w:sz w:val="22"/>
        </w:rPr>
      </w:r>
    </w:p>
    <w:p>
      <w:pPr>
        <w:pStyle w:val="Normal"/>
        <w:jc w:val="both"/>
        <w:rPr/>
      </w:pPr>
      <w:bookmarkStart w:id="1" w:name="_DV_C160"/>
      <w:bookmarkStart w:id="2" w:name="_DV_IPM12"/>
      <w:bookmarkEnd w:id="2"/>
      <w:r>
        <w:rPr>
          <w:rStyle w:val="DeltaViewInsertion"/>
          <w:b w:val="false"/>
          <w:bCs/>
          <w:color w:val="000000"/>
          <w:u w:val="none"/>
        </w:rPr>
        <w:t>8.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b w:val="false"/>
          <w:bCs/>
          <w:color w:val="000000"/>
          <w:u w:val="none"/>
        </w:rPr>
        <w:t>.</w:t>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2001-10-31T14:22:00Z</dcterms:created>
  <dc:creator>mcook</dc:creator>
  <dc:description/>
  <dc:language>en-CA</dc:language>
  <cp:lastModifiedBy>mcook</cp:lastModifiedBy>
  <cp:lastPrinted>2001-10-31T15:00:00Z</cp:lastPrinted>
  <dcterms:modified xsi:type="dcterms:W3CDTF">2001-11-01T21:54:00Z</dcterms:modified>
  <cp:revision>13</cp:revision>
  <dc:subject/>
  <dc:title>MASTER CROSS﷓PRODUCT NETTING AND SECURITY AGREEMENT</dc:title>
</cp:coreProperties>
</file>