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b/>
          <w:bCs/>
          <w:sz w:val="20"/>
        </w:rPr>
      </w:pPr>
      <w:r>
        <w:rPr>
          <w:rFonts w:cs="Arial Narrow" w:ascii="Arial Narrow" w:hAnsi="Arial Narrow"/>
          <w:b/>
          <w:bCs/>
          <w:sz w:val="20"/>
        </w:rPr>
        <w:t xml:space="preserve">USER NOTES:  </w:t>
      </w:r>
    </w:p>
    <w:p>
      <w:pPr>
        <w:pStyle w:val="Normal"/>
        <w:jc w:val="both"/>
        <w:rPr>
          <w:rFonts w:ascii="Arial Narrow" w:hAnsi="Arial Narrow" w:cs="Arial Narrow"/>
          <w:sz w:val="20"/>
        </w:rPr>
      </w:pPr>
      <w:r>
        <w:rPr>
          <w:rFonts w:cs="Arial Narrow" w:ascii="Arial Narrow" w:hAnsi="Arial Narrow"/>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2.  ABSENT SPECIAL CIRCUMSTANCES, EACH UNDERLYING MASTER AGREEMENT (1) </w:t>
      </w:r>
      <w:r>
        <w:rPr>
          <w:rFonts w:cs="Arial Narrow" w:ascii="Arial Narrow" w:hAnsi="Arial Narrow"/>
          <w:sz w:val="20"/>
          <w:u w:val="single"/>
        </w:rPr>
        <w:t>MUST</w:t>
      </w:r>
      <w:r>
        <w:rPr>
          <w:rFonts w:cs="Arial Narrow" w:ascii="Arial Narrow" w:hAnsi="Arial Narrow"/>
          <w:sz w:val="20"/>
        </w:rPr>
        <w:t xml:space="preserve"> INCLUDE CONDITIONAL TWO WAY PAYMENTS, A/K/A CONDITIONAL SECOND METHOD UNDER ISDA, FOR TERMINATION PAYMENTS, (2) CHERRY-PICKING UPON TERMINATION (BANKRUPTCY OR OTHERWISE) </w:t>
      </w:r>
      <w:r>
        <w:rPr>
          <w:rFonts w:cs="Arial Narrow" w:ascii="Arial Narrow" w:hAnsi="Arial Narrow"/>
          <w:sz w:val="20"/>
          <w:u w:val="single"/>
        </w:rPr>
        <w:t>MUST NOT</w:t>
      </w:r>
      <w:r>
        <w:rPr>
          <w:rFonts w:cs="Arial Narrow" w:ascii="Arial Narrow" w:hAnsi="Arial Narrow"/>
          <w:sz w:val="20"/>
        </w:rPr>
        <w:t xml:space="preserve"> BE ALLOWED AND (3) </w:t>
      </w:r>
      <w:r>
        <w:rPr>
          <w:rFonts w:cs="Arial Narrow" w:ascii="Arial Narrow" w:hAnsi="Arial Narrow"/>
          <w:sz w:val="20"/>
          <w:u w:val="single"/>
        </w:rPr>
        <w:t>MUST NOT</w:t>
      </w:r>
      <w:r>
        <w:rPr>
          <w:rFonts w:cs="Arial Narrow" w:ascii="Arial Narrow" w:hAnsi="Arial Narrow"/>
          <w:sz w:val="20"/>
        </w:rPr>
        <w:t xml:space="preserve"> INCLUDE AUTOMATIC TERMINATION UNLESS FOREIGN JURISDICTION INSOLVENCY LAW WOULD MAKE SUCH NECESSARY.  THE UNDERLYING MASTER AGREEMENTS SHOULD BE AMENDED AS NECESSARY PRIOR TO INCLUSION HEREUNDER.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IF ANY UNDERLYING MASTER AGREEMENT INVOLVES PHYSICAL TRADING OF LIQUIDS, COAL, PULP AND PAPER, LUMBER, METALS OR OTHER PHYSICAL PRODUCT CONTAINING QUALITY SPECS, CONSIDER ADDING "an event concerning the nonconformity of product" TO THE PROVISO AT THE END OF SECTION 2(a) LISTING ITEMS THAT ARE NOT CONSIDERED A DEFAULT.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4.  CONSIDER CROSS-BORDER TAX AND OTHER ISSUES, INCLUDING CANADA TAX MATTERS.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5.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cs="Arial Narrow" w:ascii="Arial Narrow" w:hAnsi="Arial Narrow"/>
          <w:b/>
          <w:bCs/>
          <w:sz w:val="20"/>
        </w:rPr>
        <w:t>ADD THE FOLLOWING TO THE GUARANTY PROVISIONS</w:t>
      </w:r>
      <w:r>
        <w:rPr>
          <w:rFonts w:cs="Arial Narrow" w:ascii="Arial Narrow" w:hAnsi="Arial Narrow"/>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6.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7.  CANADA MATTERS:  PERFECTION OF CASH COLLATERAL SHOULD BE UNDERTAKEN IN CANADA BY MAKING REQUISITE FILINGS IN ACCORDANCE WITH CANADIAN LAW.</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Cs/>
          <w:color w:val="000000"/>
          <w:sz w:val="20"/>
        </w:rPr>
      </w:pPr>
      <w:bookmarkStart w:id="0" w:name="_DV_C160"/>
      <w:bookmarkStart w:id="1" w:name="_DV_IPM12"/>
      <w:bookmarkEnd w:id="1"/>
      <w:r>
        <w:rPr>
          <w:rStyle w:val="DeltaViewInsertion"/>
          <w:rFonts w:cs="Arial Narrow" w:ascii="Arial Narrow" w:hAnsi="Arial Narrow"/>
          <w:b w:val="false"/>
          <w:bCs/>
          <w:color w:val="000000"/>
          <w:sz w:val="20"/>
          <w:u w:val="none"/>
        </w:rPr>
        <w:t>8.  IF CAPITALIZED TERMS USED IN MASTER NETTING AGREEMENT ARE NOT DEFINED IN MASTER NETTING AGREEMENT AND ARE DEFINED IN TWO OR MORE UNDERLYING MASTER AGREEMENTS, CONSIDER ELECTING ONE DEFINITION TO APPLY IN MASTER NETTING AGREEMENT</w:t>
      </w:r>
      <w:bookmarkEnd w:id="0"/>
      <w:r>
        <w:rPr>
          <w:rStyle w:val="DeltaViewInsertion"/>
          <w:rFonts w:cs="Arial Narrow" w:ascii="Arial Narrow" w:hAnsi="Arial Narrow"/>
          <w:b w:val="false"/>
          <w:bCs/>
          <w:sz w:val="20"/>
          <w:u w:val="none"/>
        </w:rPr>
        <w:t>.</w:t>
      </w:r>
    </w:p>
    <w:p>
      <w:pPr>
        <w:pStyle w:val="Normal"/>
        <w:rPr>
          <w:rFonts w:ascii="Arial Narrow" w:hAnsi="Arial Narrow" w:cs="Arial Narrow"/>
          <w:bCs/>
          <w:color w:val="000000"/>
          <w:sz w:val="20"/>
        </w:rPr>
      </w:pPr>
      <w:r>
        <w:rPr>
          <w:rFonts w:cs="Arial Narrow" w:ascii="Arial Narrow" w:hAnsi="Arial Narrow"/>
          <w:bCs/>
          <w:color w:val="000000"/>
          <w:sz w:val="20"/>
        </w:rPr>
      </w:r>
    </w:p>
    <w:p>
      <w:pPr>
        <w:pStyle w:val="Normal"/>
        <w:jc w:val="both"/>
        <w:rPr>
          <w:rFonts w:ascii="Arial Narrow" w:hAnsi="Arial Narrow" w:eastAsia="Arial Narrow" w:cs="Arial Narrow"/>
          <w:sz w:val="20"/>
        </w:rPr>
      </w:pPr>
      <w:r>
        <w:rPr>
          <w:rFonts w:eastAsia="Arial Narrow" w:cs="Arial Narrow" w:ascii="Arial Narrow" w:hAnsi="Arial Narrow"/>
          <w:sz w:val="20"/>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/mnt/main-storage/datasets/enron-docs/doc/Master_Netting_User_Notes_a.doc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2001-11-12T18:49:00Z</dcterms:created>
  <dc:creator>mcook</dc:creator>
  <dc:description/>
  <dc:language>en-CA</dc:language>
  <cp:lastModifiedBy>mcook</cp:lastModifiedBy>
  <cp:lastPrinted>2001-11-12T15:30:00Z</cp:lastPrinted>
  <dcterms:modified xsi:type="dcterms:W3CDTF">2001-11-12T19:00:00Z</dcterms:modified>
  <cp:revision>12</cp:revision>
  <dc:subject/>
  <dc:title>USER NOTES:  </dc:title>
</cp:coreProperties>
</file>