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2"/>
        </w:rPr>
      </w:pPr>
      <w:r>
        <w:rPr>
          <w:b/>
          <w:bCs/>
          <w:sz w:val="22"/>
        </w:rPr>
        <w:t>[WESTERN RESOURCES, INC.]</w:t>
      </w:r>
    </w:p>
    <w:p>
      <w:pPr>
        <w:pStyle w:val="Normal"/>
        <w:jc w:val="center"/>
        <w:rPr>
          <w:b/>
          <w:bCs/>
          <w:sz w:val="22"/>
        </w:rPr>
      </w:pPr>
      <w:r>
        <w:rPr>
          <w:b/>
          <w:bCs/>
          <w:sz w:val="22"/>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is made and entered into effective as of November ___, 2001 by and among Western Resources, Inc. (“WRI”), Enron North America Corp. ("</w:t>
      </w:r>
      <w:r>
        <w:rPr>
          <w:sz w:val="22"/>
          <w:u w:val="single"/>
        </w:rPr>
        <w:t>ENA</w:t>
      </w:r>
      <w:r>
        <w:rPr>
          <w:sz w:val="22"/>
        </w:rPr>
        <w:t>") and Enron Power Marketing, Inc. ("</w:t>
      </w:r>
      <w:r>
        <w:rPr>
          <w:sz w:val="22"/>
          <w:u w:val="single"/>
        </w:rPr>
        <w:t>EPMI</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WRI have entered into that certain ISDA Master Agreement dated effective as of September 17, 1999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w:t>
      </w:r>
      <w:r>
        <w:rPr>
          <w:b/>
          <w:bCs/>
          <w:sz w:val="22"/>
        </w:rPr>
        <w:t xml:space="preserve"> </w:t>
      </w:r>
      <w:r>
        <w:rPr>
          <w:sz w:val="22"/>
        </w:rPr>
        <w:t>WRI have entered into that certain Master Firm Purchase/Sale Agreement dated as of November __, 2001 (as the same may have been or may be amended, restated, supplemented, or otherwise modified from time to time, and including all Transactions, schedules, annexes, and confirmations thereunder, the "</w:t>
      </w:r>
      <w:r>
        <w:rPr>
          <w:sz w:val="22"/>
          <w:u w:val="single"/>
        </w:rPr>
        <w:t>Physical Coal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WRI have entered into that certain Master Energy Purchase and Sale Agreement dated as of June 23, 1998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Financial Master Agreement, the Physical Coal Master Agreement and the Physical Power Master Agreement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means WRI.</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b/>
          <w:bCs/>
          <w:sz w:val="22"/>
        </w:rPr>
      </w:pPr>
      <w:r>
        <w:rPr>
          <w:sz w:val="22"/>
        </w:rPr>
        <w:t>"</w:t>
      </w:r>
      <w:r>
        <w:rPr>
          <w:sz w:val="22"/>
          <w:u w:val="single"/>
        </w:rPr>
        <w:t>Enron Group Guaranty Agreement</w:t>
      </w:r>
      <w:r>
        <w:rPr>
          <w:sz w:val="22"/>
        </w:rPr>
        <w:t>" means the guaranty agreement of Enron Corp. to be delivered to Counterparty Group pursuant to this Agreement.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and EPMI.</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xml:space="preserve">" means with respect to Enron Group, Enron Corp., and with respect to Counterparty Group, none.  </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EPMI, or WRI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an event concerning the non-conformity of product,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(e)  Notwithstanding any provisions of any of the Underlying Master Agreements, each Letter of Credit permitted as Collateral issued for the account of any Counterparty Party shall name ENA for itself and as agent for EPMI as beneficiary thereof, and shall provide for the right of ENA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each hereby amended to the extent necessary to give effect to this Agreement, including, without limitation, (i) by the addition of the requirement (notwithstanding any provision that may be construed to the contrary therein) that all, rather than only some, Transactions thereunder must be terminated, liquidated, cancelled and otherwise closed-out upon the exercise of the early termination rights thereunder based upon a triggering event, event of default or default, other than an event of Force Majeure, a nonconformity of product, a change in law or regulation, or an illegality, and (ii) by the deletion of any automatic termination provisions set forth in any of the Underlying Master Agreements.  Without limiting the generality of the foregoing, EPMI and WRI hereby agree that Section 4.2(a) of the Physical Power Master Agreement is hereby amended by deleting the first sentence thereof and replacing it with the following:</w:t>
      </w:r>
    </w:p>
    <w:p>
      <w:pPr>
        <w:pStyle w:val="Normal"/>
        <w:tabs>
          <w:tab w:val="clear" w:pos="720"/>
          <w:tab w:val="left" w:pos="1260" w:leader="none"/>
        </w:tabs>
        <w:ind w:firstLine="720" w:end="0"/>
        <w:jc w:val="both"/>
        <w:rPr>
          <w:sz w:val="22"/>
        </w:rPr>
      </w:pPr>
      <w:r>
        <w:rPr>
          <w:sz w:val="22"/>
        </w:rPr>
      </w:r>
    </w:p>
    <w:p>
      <w:pPr>
        <w:pStyle w:val="BlockText"/>
        <w:rPr/>
      </w:pPr>
      <w:r>
        <w:rPr/>
        <w:tab/>
        <w:t>“(a)  If an Event of Default occurs with respect to a Defaulting Party at any time during the term of this Agreement, the Non-Defaulting Party may, for so long as the Event of Default is continuing, (i) establish a date (which date shall be between 5 and 10 Business Days after the Non-Defaulting Party delivers notice) (“Early Termination Date”) on which all Transactions shall terminate (individually a “Terminated Transaction” and collectively the “Terminated Transactions”) and (ii) withhold any payments due in respect of the Terminated Transactions.”</w:t>
      </w:r>
    </w:p>
    <w:p>
      <w:pPr>
        <w:pStyle w:val="Normal"/>
        <w:tabs>
          <w:tab w:val="clear" w:pos="720"/>
          <w:tab w:val="left" w:pos="1260" w:leader="none"/>
        </w:tabs>
        <w:ind w:firstLine="720" w:end="0"/>
        <w:jc w:val="both"/>
        <w:rPr>
          <w:sz w:val="22"/>
        </w:rPr>
      </w:pPr>
      <w:r>
        <w:rPr>
          <w:sz w:val="22"/>
        </w:rPr>
      </w:r>
    </w:p>
    <w:p>
      <w:pPr>
        <w:pStyle w:val="Justified"/>
        <w:widowControl/>
        <w:tabs>
          <w:tab w:val="clear" w:pos="720"/>
          <w:tab w:val="left" w:pos="1260" w:leader="none"/>
        </w:tabs>
        <w:spacing w:before="0" w:after="0"/>
        <w:rPr>
          <w:rFonts w:ascii="Times New Roman" w:hAnsi="Times New Roman" w:cs="Times New Roman"/>
          <w:szCs w:val="20"/>
        </w:rPr>
      </w:pPr>
      <w:r>
        <w:rPr>
          <w:rFonts w:cs="Times New Roman" w:ascii="Times New Roman" w:hAnsi="Times New Roman"/>
          <w:szCs w:val="20"/>
        </w:rPr>
        <w:t>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rFonts w:ascii="Times New Roman" w:hAnsi="Times New Roman" w:cs="Times New Roman"/>
          <w:sz w:val="22"/>
          <w:szCs w:val="20"/>
        </w:rPr>
      </w:pPr>
      <w:r>
        <w:rPr>
          <w:rFonts w:cs="Times New Roman"/>
          <w:sz w:val="22"/>
          <w:szCs w:val="20"/>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Guaranty.</w:t>
      </w:r>
      <w:r>
        <w:rPr>
          <w:sz w:val="22"/>
        </w:rPr>
        <w:t xml:space="preserve">  As of the date hereof, any Obligations of Enron Group with respect to the delivery by a “credit support provider” or “guarantor” of a “credit support document” or “guaranty” (in each case, however designated) have been satisfied by the delivery of the Enron Group Guaranty Agreement to the Counterparty Group.</w:t>
      </w:r>
    </w:p>
    <w:p>
      <w:pPr>
        <w:pStyle w:val="Normal"/>
        <w:tabs>
          <w:tab w:val="left" w:pos="720" w:leader="none"/>
          <w:tab w:val="left" w:pos="1260" w:leader="none"/>
        </w:tabs>
        <w:jc w:val="both"/>
        <w:rPr>
          <w:b/>
          <w:bCs/>
          <w:sz w:val="22"/>
        </w:rPr>
      </w:pPr>
      <w:r>
        <w:rPr>
          <w:b/>
          <w:bCs/>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pPr>
      <w:r>
        <w:rPr>
          <w:sz w:val="22"/>
        </w:rPr>
        <w:t xml:space="preserve">BY:  </w:t>
      </w:r>
      <w:r>
        <w:rPr>
          <w:sz w:val="22"/>
          <w:u w:val="single"/>
        </w:rPr>
        <w:tab/>
        <w:tab/>
        <w:tab/>
        <w:tab/>
        <w:tab/>
        <w:tab/>
        <w:tab/>
      </w:r>
    </w:p>
    <w:p>
      <w:pPr>
        <w:pStyle w:val="OmniPage6"/>
        <w:jc w:val="both"/>
        <w:rPr/>
      </w:pPr>
      <w:r>
        <w:rPr>
          <w:sz w:val="22"/>
        </w:rPr>
        <w:t xml:space="preserve">PRINTED NAME:  </w:t>
      </w:r>
      <w:r>
        <w:rPr>
          <w:sz w:val="22"/>
          <w:u w:val="single"/>
        </w:rPr>
        <w:tab/>
        <w:tab/>
        <w:tab/>
        <w:tab/>
        <w:tab/>
      </w:r>
    </w:p>
    <w:p>
      <w:pPr>
        <w:pStyle w:val="OmniPage6"/>
        <w:jc w:val="both"/>
        <w:rPr/>
      </w:pPr>
      <w:r>
        <w:rPr>
          <w:sz w:val="22"/>
        </w:rPr>
        <w:t xml:space="preserve">TITLE:  </w:t>
      </w:r>
      <w:r>
        <w:rPr>
          <w:sz w:val="22"/>
          <w:u w:val="single"/>
        </w:rPr>
        <w:tab/>
        <w:tab/>
        <w:tab/>
        <w:tab/>
        <w:tab/>
        <w:tab/>
      </w:r>
    </w:p>
    <w:p>
      <w:pPr>
        <w:pStyle w:val="Normal"/>
        <w:jc w:val="both"/>
        <w:rPr>
          <w:sz w:val="22"/>
          <w:u w:val="single"/>
        </w:rPr>
      </w:pPr>
      <w:r>
        <w:rPr>
          <w:sz w:val="22"/>
          <w:u w:val="single"/>
        </w:rPr>
      </w:r>
    </w:p>
    <w:p>
      <w:pPr>
        <w:pStyle w:val="Normal"/>
        <w:jc w:val="both"/>
        <w:rPr/>
      </w:pPr>
      <w:r>
        <w:rPr>
          <w:sz w:val="22"/>
        </w:rPr>
        <w:t xml:space="preserve">Location of state of incorporation or organization:  </w:t>
      </w:r>
      <w:r>
        <w:rPr>
          <w:sz w:val="22"/>
          <w:u w:val="single"/>
        </w:rPr>
        <w:tab/>
        <w:tab/>
        <w:tab/>
      </w:r>
    </w:p>
    <w:p>
      <w:pPr>
        <w:pStyle w:val="Normal"/>
        <w:jc w:val="both"/>
        <w:rPr/>
      </w:pPr>
      <w:r>
        <w:rPr>
          <w:sz w:val="22"/>
        </w:rPr>
        <w:t xml:space="preserve">Location of chief executive office:  </w:t>
      </w:r>
      <w:r>
        <w:rPr>
          <w:sz w:val="22"/>
          <w:u w:val="single"/>
        </w:rPr>
        <w:tab/>
        <w:tab/>
        <w:tab/>
        <w:tab/>
        <w:tab/>
      </w:r>
    </w:p>
    <w:p>
      <w:pPr>
        <w:pStyle w:val="Normal"/>
        <w:jc w:val="both"/>
        <w:rPr>
          <w:sz w:val="22"/>
        </w:rPr>
      </w:pPr>
      <w:r>
        <w:rPr>
          <w:sz w:val="22"/>
          <w:u w:val="single"/>
        </w:rPr>
        <w:tab/>
        <w:tab/>
        <w:tab/>
        <w:tab/>
        <w:tab/>
        <w:tab/>
        <w:tab/>
        <w:tab/>
        <w:tab/>
      </w:r>
    </w:p>
    <w:p>
      <w:pPr>
        <w:pStyle w:val="Normal"/>
        <w:jc w:val="both"/>
        <w:rPr>
          <w:sz w:val="22"/>
        </w:rPr>
      </w:pPr>
      <w:r>
        <w:rPr>
          <w:sz w:val="22"/>
        </w:rPr>
      </w:r>
    </w:p>
    <w:p>
      <w:pPr>
        <w:pStyle w:val="Normal"/>
        <w:jc w:val="both"/>
        <w:rPr>
          <w:sz w:val="22"/>
        </w:rPr>
      </w:pPr>
      <w:r>
        <w:rPr>
          <w:sz w:val="22"/>
        </w:rPr>
      </w:r>
    </w:p>
    <w:p>
      <w:pPr>
        <w:pStyle w:val="Normal"/>
        <w:jc w:val="both"/>
        <w:rPr>
          <w:sz w:val="22"/>
        </w:rPr>
      </w:pPr>
      <w:r>
        <w:rPr>
          <w:b/>
          <w:bCs/>
          <w:sz w:val="22"/>
        </w:rPr>
        <w:t>ENRON POWER MARKETING INC.</w:t>
      </w:r>
    </w:p>
    <w:p>
      <w:pPr>
        <w:pStyle w:val="Normal"/>
        <w:jc w:val="both"/>
        <w:rPr>
          <w:sz w:val="22"/>
        </w:rPr>
      </w:pPr>
      <w:r>
        <w:rPr>
          <w:sz w:val="22"/>
        </w:rPr>
      </w:r>
    </w:p>
    <w:p>
      <w:pPr>
        <w:pStyle w:val="Normal"/>
        <w:jc w:val="both"/>
        <w:rPr>
          <w:sz w:val="22"/>
        </w:rPr>
      </w:pPr>
      <w:r>
        <w:rPr>
          <w:sz w:val="22"/>
        </w:rPr>
        <w:t xml:space="preserve">BY: </w:t>
      </w:r>
      <w:r>
        <w:rPr>
          <w:sz w:val="22"/>
          <w:u w:val="single"/>
        </w:rPr>
        <w:tab/>
        <w:tab/>
        <w:tab/>
        <w:tab/>
        <w:tab/>
        <w:tab/>
        <w:tab/>
      </w:r>
    </w:p>
    <w:p>
      <w:pPr>
        <w:pStyle w:val="Normal"/>
        <w:jc w:val="both"/>
        <w:rPr>
          <w:sz w:val="22"/>
        </w:rPr>
      </w:pPr>
      <w:r>
        <w:rPr>
          <w:sz w:val="22"/>
        </w:rPr>
        <w:t xml:space="preserve">PRINTED NAME: </w:t>
      </w:r>
      <w:r>
        <w:rPr>
          <w:sz w:val="22"/>
          <w:u w:val="single"/>
        </w:rPr>
        <w:tab/>
        <w:tab/>
        <w:tab/>
        <w:tab/>
        <w:tab/>
      </w:r>
    </w:p>
    <w:p>
      <w:pPr>
        <w:pStyle w:val="Normal"/>
        <w:jc w:val="both"/>
        <w:rPr/>
      </w:pPr>
      <w:r>
        <w:rPr>
          <w:sz w:val="22"/>
        </w:rPr>
        <w:t>TITLE:</w:t>
      </w:r>
      <w:r>
        <w:rPr/>
        <w:t xml:space="preserve">  </w:t>
      </w:r>
      <w:r>
        <w:rPr>
          <w:u w:val="single"/>
        </w:rPr>
        <w:tab/>
        <w:tab/>
        <w:tab/>
        <w:tab/>
        <w:tab/>
        <w:tab/>
      </w:r>
    </w:p>
    <w:p>
      <w:pPr>
        <w:pStyle w:val="Normal"/>
        <w:jc w:val="both"/>
        <w:rPr/>
      </w:pPr>
      <w:r>
        <w:rPr/>
      </w:r>
    </w:p>
    <w:p>
      <w:pPr>
        <w:pStyle w:val="Normal"/>
        <w:jc w:val="both"/>
        <w:rPr>
          <w:sz w:val="22"/>
        </w:rPr>
      </w:pPr>
      <w:r>
        <w:rPr>
          <w:sz w:val="22"/>
        </w:rPr>
        <w:t xml:space="preserve">Location of state of incorporation or organization: </w:t>
      </w:r>
      <w:r>
        <w:rPr>
          <w:sz w:val="22"/>
          <w:u w:val="single"/>
        </w:rPr>
        <w:tab/>
        <w:tab/>
        <w:tab/>
      </w:r>
    </w:p>
    <w:p>
      <w:pPr>
        <w:pStyle w:val="Normal"/>
        <w:jc w:val="both"/>
        <w:rPr/>
      </w:pPr>
      <w:r>
        <w:rPr>
          <w:sz w:val="22"/>
        </w:rPr>
        <w:t xml:space="preserve">Location of chief executive office:  </w:t>
      </w:r>
      <w:r>
        <w:rPr>
          <w:sz w:val="22"/>
          <w:u w:val="single"/>
        </w:rPr>
        <w:tab/>
        <w:tab/>
        <w:tab/>
        <w:tab/>
        <w:tab/>
      </w:r>
    </w:p>
    <w:p>
      <w:pPr>
        <w:pStyle w:val="Normal"/>
        <w:jc w:val="both"/>
        <w:rPr>
          <w:sz w:val="22"/>
          <w:u w:val="single"/>
        </w:rPr>
      </w:pPr>
      <w:r>
        <w:rPr>
          <w:sz w:val="22"/>
          <w:u w:val="single"/>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WESTERN RESOURCES, INC.</w:t>
      </w:r>
    </w:p>
    <w:p>
      <w:pPr>
        <w:pStyle w:val="Normal"/>
        <w:jc w:val="both"/>
        <w:rPr>
          <w:b/>
          <w:bCs/>
          <w:sz w:val="22"/>
        </w:rPr>
      </w:pPr>
      <w:r>
        <w:rPr>
          <w:b/>
          <w:bCs/>
          <w:sz w:val="22"/>
        </w:rPr>
      </w:r>
    </w:p>
    <w:p>
      <w:pPr>
        <w:pStyle w:val="OmniPage6"/>
        <w:jc w:val="both"/>
        <w:rPr/>
      </w:pPr>
      <w:r>
        <w:rPr>
          <w:sz w:val="22"/>
        </w:rPr>
        <w:t xml:space="preserve">BY:  </w:t>
      </w:r>
      <w:r>
        <w:rPr>
          <w:sz w:val="22"/>
          <w:u w:val="single"/>
        </w:rPr>
        <w:tab/>
        <w:tab/>
        <w:tab/>
        <w:tab/>
        <w:tab/>
        <w:tab/>
        <w:tab/>
      </w:r>
    </w:p>
    <w:p>
      <w:pPr>
        <w:pStyle w:val="OmniPage6"/>
        <w:jc w:val="both"/>
        <w:rPr/>
      </w:pPr>
      <w:r>
        <w:rPr>
          <w:sz w:val="22"/>
        </w:rPr>
        <w:t xml:space="preserve">PRINTED NAME:  </w:t>
      </w:r>
      <w:r>
        <w:rPr>
          <w:sz w:val="22"/>
          <w:u w:val="single"/>
        </w:rPr>
        <w:tab/>
        <w:tab/>
        <w:tab/>
        <w:tab/>
        <w:tab/>
      </w:r>
    </w:p>
    <w:p>
      <w:pPr>
        <w:pStyle w:val="OmniPage6"/>
        <w:jc w:val="both"/>
        <w:rPr/>
      </w:pPr>
      <w:r>
        <w:rPr>
          <w:sz w:val="22"/>
        </w:rPr>
        <w:t xml:space="preserve">TITLE:  </w:t>
      </w:r>
      <w:r>
        <w:rPr>
          <w:sz w:val="22"/>
          <w:u w:val="single"/>
        </w:rPr>
        <w:tab/>
        <w:tab/>
        <w:tab/>
        <w:tab/>
        <w:tab/>
        <w:tab/>
      </w:r>
    </w:p>
    <w:p>
      <w:pPr>
        <w:pStyle w:val="Normal"/>
        <w:jc w:val="both"/>
        <w:rPr>
          <w:b/>
          <w:bCs/>
          <w:sz w:val="22"/>
          <w:u w:val="single"/>
        </w:rPr>
      </w:pPr>
      <w:r>
        <w:rPr>
          <w:b/>
          <w:bCs/>
          <w:sz w:val="22"/>
          <w:u w:val="single"/>
        </w:rPr>
      </w:r>
    </w:p>
    <w:p>
      <w:pPr>
        <w:pStyle w:val="Normal"/>
        <w:jc w:val="both"/>
        <w:rPr/>
      </w:pPr>
      <w:r>
        <w:rPr>
          <w:sz w:val="22"/>
        </w:rPr>
        <w:t xml:space="preserve">Location of State of incorporation or organization:  </w:t>
      </w:r>
      <w:r>
        <w:rPr>
          <w:sz w:val="22"/>
          <w:u w:val="single"/>
        </w:rPr>
        <w:tab/>
        <w:tab/>
        <w:tab/>
      </w:r>
    </w:p>
    <w:p>
      <w:pPr>
        <w:pStyle w:val="Normal"/>
        <w:jc w:val="both"/>
        <w:rPr/>
      </w:pPr>
      <w:r>
        <w:rPr>
          <w:sz w:val="22"/>
        </w:rPr>
        <w:t xml:space="preserve">Location of chief executive office:  </w:t>
      </w:r>
      <w:r>
        <w:rPr>
          <w:sz w:val="22"/>
          <w:u w:val="single"/>
        </w:rPr>
        <w:tab/>
        <w:tab/>
        <w:tab/>
        <w:tab/>
        <w:tab/>
      </w:r>
    </w:p>
    <w:p>
      <w:pPr>
        <w:pStyle w:val="Normal"/>
        <w:jc w:val="both"/>
        <w:rPr>
          <w:sz w:val="22"/>
          <w:u w:val="single"/>
        </w:rPr>
      </w:pPr>
      <w:r>
        <w:rPr>
          <w:sz w:val="22"/>
          <w:u w:val="single"/>
        </w:rPr>
        <w:tab/>
        <w:tab/>
        <w:tab/>
        <w:tab/>
        <w:tab/>
        <w:tab/>
        <w:tab/>
        <w:tab/>
        <w:tab/>
      </w:r>
    </w:p>
    <w:p>
      <w:pPr>
        <w:pStyle w:val="Normal"/>
        <w:jc w:val="both"/>
        <w:rPr>
          <w:sz w:val="22"/>
          <w:u w:val="single"/>
        </w:rPr>
      </w:pPr>
      <w:r>
        <w:rPr>
          <w:sz w:val="22"/>
          <w:u w:val="single"/>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/mnt/main-storage/datasets/enron-docs/doc/Master_Netting_Security_Agmt.doc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BlockText">
    <w:name w:val="Block Text"/>
    <w:basedOn w:val="Normal"/>
    <w:qFormat/>
    <w:pPr>
      <w:tabs>
        <w:tab w:val="clear" w:pos="720"/>
        <w:tab w:val="left" w:pos="1260" w:leader="none"/>
      </w:tabs>
      <w:ind w:hanging="720" w:start="1440" w:end="72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2001-11-15T16:56:00Z</dcterms:created>
  <dc:creator>mcook</dc:creator>
  <dc:description/>
  <dc:language>en-CA</dc:language>
  <cp:lastModifiedBy>tzucha</cp:lastModifiedBy>
  <cp:lastPrinted>2001-11-15T13:26:00Z</cp:lastPrinted>
  <dcterms:modified xsi:type="dcterms:W3CDTF">2001-11-15T16:56:00Z</dcterms:modified>
  <cp:revision>2</cp:revision>
  <dc:subject/>
  <dc:title>MASTER CROSS﷓PRODUCT NETTING AND SECURITY AGREEMENT</dc:title>
</cp:coreProperties>
</file>