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TO:   MASTER NETTING GROUP</w:t>
      </w:r>
    </w:p>
    <w:p>
      <w:pPr>
        <w:pStyle w:val="Normal"/>
        <w:rPr>
          <w:sz w:val="22"/>
        </w:rPr>
      </w:pPr>
      <w:r>
        <w:rPr>
          <w:sz w:val="22"/>
        </w:rPr>
        <w:t>FROM:  MARY COOK</w:t>
      </w:r>
    </w:p>
    <w:p>
      <w:pPr>
        <w:pStyle w:val="Normal"/>
        <w:rPr>
          <w:sz w:val="22"/>
        </w:rPr>
      </w:pPr>
      <w:r>
        <w:rPr>
          <w:sz w:val="22"/>
        </w:rPr>
        <w:t>11/14/01</w:t>
      </w:r>
    </w:p>
    <w:p>
      <w:pPr>
        <w:pStyle w:val="Normal"/>
        <w:rPr>
          <w:sz w:val="22"/>
        </w:rPr>
      </w:pPr>
      <w:r>
        <w:rPr>
          <w:sz w:val="22"/>
        </w:rPr>
        <w:t>RE:  "REGROUPING"</w:t>
      </w:r>
    </w:p>
    <w:p>
      <w:pPr>
        <w:pStyle w:val="Normal"/>
        <w:jc w:val="both"/>
        <w:rPr>
          <w:sz w:val="22"/>
        </w:rPr>
      </w:pPr>
      <w:r>
        <w:rPr>
          <w:sz w:val="22"/>
        </w:rPr>
      </w:r>
    </w:p>
    <w:p>
      <w:pPr>
        <w:pStyle w:val="Normal"/>
        <w:jc w:val="both"/>
        <w:rPr>
          <w:sz w:val="22"/>
        </w:rPr>
      </w:pPr>
      <w:r>
        <w:rPr>
          <w:sz w:val="22"/>
        </w:rPr>
        <w:t>This memo is intended to clarify the landscape surrounding our master netting work for the credit department.  This memo and attachments should clarify changes to forms and process structure, and assessment of issues.</w:t>
      </w:r>
    </w:p>
    <w:p>
      <w:pPr>
        <w:pStyle w:val="Normal"/>
        <w:jc w:val="both"/>
        <w:rPr>
          <w:sz w:val="22"/>
        </w:rPr>
      </w:pPr>
      <w:r>
        <w:rPr>
          <w:sz w:val="22"/>
        </w:rPr>
      </w:r>
    </w:p>
    <w:p>
      <w:pPr>
        <w:pStyle w:val="Normal"/>
        <w:jc w:val="both"/>
        <w:rPr>
          <w:sz w:val="22"/>
        </w:rPr>
      </w:pPr>
      <w:r>
        <w:rPr>
          <w:sz w:val="22"/>
        </w:rPr>
        <w:t>1.  See clean and redline of User Notes and Master Netting Processes attached to the email.  Specifically note the added items that have been previously mentioned in prior emails to the group.  Now they are in one place!</w:t>
      </w:r>
    </w:p>
    <w:p>
      <w:pPr>
        <w:pStyle w:val="Normal"/>
        <w:jc w:val="both"/>
        <w:rPr>
          <w:sz w:val="22"/>
        </w:rPr>
      </w:pPr>
      <w:r>
        <w:rPr>
          <w:sz w:val="22"/>
        </w:rPr>
      </w:r>
    </w:p>
    <w:p>
      <w:pPr>
        <w:pStyle w:val="Normal"/>
        <w:jc w:val="both"/>
        <w:rPr>
          <w:sz w:val="22"/>
        </w:rPr>
      </w:pPr>
      <w:r>
        <w:rPr>
          <w:sz w:val="22"/>
        </w:rPr>
        <w:t>2.  Alan Aronowitz has been coordinating with London.  To the extent you are involved with the London office on any master netting arrangement (cross-border) please check with Alan as well as Tanya Rohauer.  Morris Clark (tax) has advised that he will be handling the cross border tax issue similarly to the manner handled for Canada.  Please be sure that he is contacted.</w:t>
      </w:r>
    </w:p>
    <w:p>
      <w:pPr>
        <w:pStyle w:val="Normal"/>
        <w:jc w:val="both"/>
        <w:rPr>
          <w:sz w:val="22"/>
        </w:rPr>
      </w:pPr>
      <w:r>
        <w:rPr>
          <w:sz w:val="22"/>
        </w:rPr>
      </w:r>
    </w:p>
    <w:p>
      <w:pPr>
        <w:pStyle w:val="Normal"/>
        <w:jc w:val="both"/>
        <w:rPr/>
      </w:pPr>
      <w:r>
        <w:rPr>
          <w:sz w:val="22"/>
        </w:rPr>
        <w:t xml:space="preserve">3.  As a reminder:  The forms are Master Netting &amp; Security Agmnt 10 h v1.doc (with Collateral Annex) and Master Netting Agreement Credit Support Annex 10 d, or Master Netting &amp; Security Agmnt 10 h a v1 (without Collateral Annex).  The current forms are attached to the email, </w:t>
      </w:r>
      <w:r>
        <w:rPr>
          <w:i/>
          <w:iCs/>
          <w:sz w:val="22"/>
        </w:rPr>
        <w:t>and the only correction made is to change the cross-reference in Section 14 (at line 10) from Section 14(b) to Section 14(c)</w:t>
      </w:r>
      <w:r>
        <w:rPr>
          <w:sz w:val="22"/>
        </w:rPr>
        <w:t>.  Any further changes to the forms will be versioned and will be distributed with a redlined draft.  I do anticipate further changes to further retool the form in light of a contemplated structured receivable financing and will advise.</w:t>
      </w:r>
    </w:p>
    <w:p>
      <w:pPr>
        <w:pStyle w:val="Normal"/>
        <w:jc w:val="both"/>
        <w:rPr>
          <w:sz w:val="22"/>
        </w:rPr>
      </w:pPr>
      <w:r>
        <w:rPr>
          <w:sz w:val="22"/>
        </w:rPr>
      </w:r>
    </w:p>
    <w:p>
      <w:pPr>
        <w:pStyle w:val="Normal"/>
        <w:jc w:val="both"/>
        <w:rPr>
          <w:sz w:val="22"/>
        </w:rPr>
      </w:pPr>
      <w:r>
        <w:rPr>
          <w:sz w:val="22"/>
        </w:rPr>
        <w:t>4.  The Collateral Annex has not changed over the past few weeks.</w:t>
      </w:r>
    </w:p>
    <w:p>
      <w:pPr>
        <w:pStyle w:val="Normal"/>
        <w:jc w:val="both"/>
        <w:rPr>
          <w:sz w:val="22"/>
        </w:rPr>
      </w:pPr>
      <w:r>
        <w:rPr>
          <w:sz w:val="22"/>
        </w:rPr>
      </w:r>
    </w:p>
    <w:p>
      <w:pPr>
        <w:pStyle w:val="Normal"/>
        <w:jc w:val="both"/>
        <w:rPr>
          <w:sz w:val="22"/>
        </w:rPr>
      </w:pPr>
      <w:r>
        <w:rPr>
          <w:sz w:val="22"/>
        </w:rPr>
        <w:t>5.  The following are the changes to the form that have been made the past few weeks since we began, together with a brief explanation of each.</w:t>
      </w:r>
    </w:p>
    <w:p>
      <w:pPr>
        <w:pStyle w:val="Normal"/>
        <w:jc w:val="both"/>
        <w:rPr>
          <w:sz w:val="22"/>
        </w:rPr>
      </w:pPr>
      <w:r>
        <w:rPr>
          <w:sz w:val="22"/>
        </w:rPr>
      </w:r>
    </w:p>
    <w:p>
      <w:pPr>
        <w:pStyle w:val="Normal"/>
        <w:jc w:val="both"/>
        <w:rPr>
          <w:sz w:val="22"/>
        </w:rPr>
      </w:pPr>
      <w:r>
        <w:rPr>
          <w:sz w:val="22"/>
        </w:rPr>
        <w:t>a.  Safety net converting any one-way payments to two-way payments and amending the UMAs accordingly is located at Section 14(b) of each of the master netting forms.</w:t>
      </w:r>
    </w:p>
    <w:p>
      <w:pPr>
        <w:pStyle w:val="Normal"/>
        <w:jc w:val="both"/>
        <w:rPr>
          <w:sz w:val="22"/>
        </w:rPr>
      </w:pPr>
      <w:r>
        <w:rPr>
          <w:sz w:val="22"/>
        </w:rPr>
      </w:r>
    </w:p>
    <w:p>
      <w:pPr>
        <w:pStyle w:val="Normal"/>
        <w:jc w:val="both"/>
        <w:rPr>
          <w:sz w:val="22"/>
        </w:rPr>
      </w:pPr>
      <w:r>
        <w:rPr>
          <w:sz w:val="22"/>
        </w:rPr>
        <w:t>b.  Safety net amendment deleting automatic termination provisions of any UMA is located at Section 14(a)(ii).</w:t>
      </w:r>
    </w:p>
    <w:p>
      <w:pPr>
        <w:pStyle w:val="Normal"/>
        <w:jc w:val="both"/>
        <w:rPr>
          <w:sz w:val="22"/>
        </w:rPr>
      </w:pPr>
      <w:r>
        <w:rPr>
          <w:sz w:val="22"/>
        </w:rPr>
      </w:r>
    </w:p>
    <w:p>
      <w:pPr>
        <w:pStyle w:val="Normal"/>
        <w:jc w:val="both"/>
        <w:rPr>
          <w:sz w:val="22"/>
        </w:rPr>
      </w:pPr>
      <w:r>
        <w:rPr>
          <w:sz w:val="22"/>
        </w:rPr>
        <w:t>c.  Safety net amendment disallowing cherrypicking provisions of any UMA on occasion of default at Section 14(a)(i).</w:t>
      </w:r>
    </w:p>
    <w:p>
      <w:pPr>
        <w:pStyle w:val="Normal"/>
        <w:jc w:val="both"/>
        <w:rPr>
          <w:sz w:val="22"/>
        </w:rPr>
      </w:pPr>
      <w:r>
        <w:rPr>
          <w:sz w:val="22"/>
        </w:rPr>
      </w:r>
    </w:p>
    <w:p>
      <w:pPr>
        <w:pStyle w:val="Normal"/>
        <w:jc w:val="both"/>
        <w:rPr>
          <w:sz w:val="22"/>
        </w:rPr>
      </w:pPr>
      <w:r>
        <w:rPr>
          <w:sz w:val="22"/>
        </w:rPr>
        <w:t>In each of a, b, and c, the better approach is to modify by express separate amendments of the UMAs, except as a particular negotiation position may otherwise dictate.</w:t>
      </w:r>
    </w:p>
    <w:p>
      <w:pPr>
        <w:pStyle w:val="Normal"/>
        <w:jc w:val="both"/>
        <w:rPr>
          <w:sz w:val="22"/>
        </w:rPr>
      </w:pPr>
      <w:r>
        <w:rPr>
          <w:sz w:val="22"/>
        </w:rPr>
      </w:r>
    </w:p>
    <w:p>
      <w:pPr>
        <w:pStyle w:val="Normal"/>
        <w:jc w:val="both"/>
        <w:rPr>
          <w:sz w:val="22"/>
        </w:rPr>
      </w:pPr>
      <w:r>
        <w:rPr>
          <w:sz w:val="22"/>
        </w:rPr>
        <w:t>d.  The last proviso of Section 2(a) clarifying that "no-fault" defaults are not Defaults.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I hope this memo brings us up to date.  If you have questions, give me a call.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fldChar w:fldCharType="begin"/>
    </w:r>
    <w:r>
      <w:rPr>
        <w:sz w:val="22"/>
      </w:rPr>
      <w:instrText xml:space="preserve"> FILENAME \p </w:instrText>
    </w:r>
    <w:r>
      <w:rPr>
        <w:sz w:val="22"/>
      </w:rPr>
      <w:fldChar w:fldCharType="separate"/>
    </w:r>
    <w:r>
      <w:rPr>
        <w:sz w:val="22"/>
      </w:rPr>
      <w:t>/mnt/main-storage/datasets/enron-docs/doc/Master_Netting_Group_Memo.doc</w:t>
    </w:r>
    <w:r>
      <w:rPr>
        <w:sz w:val="2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2001-11-14T13:44:00Z</dcterms:created>
  <dc:creator>mcook</dc:creator>
  <dc:description/>
  <dc:language>en-CA</dc:language>
  <cp:lastModifiedBy>mcook</cp:lastModifiedBy>
  <cp:lastPrinted>2001-11-14T15:11:00Z</cp:lastPrinted>
  <dcterms:modified xsi:type="dcterms:W3CDTF">2001-11-14T19:07:00Z</dcterms:modified>
  <cp:revision>4</cp:revision>
  <dc:subject/>
  <dc:title/>
</cp:coreProperties>
</file>