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end"/>
        <w:rPr>
          <w:b/>
          <w:sz w:val="22"/>
        </w:rPr>
      </w:pPr>
      <w:r>
        <w:rPr>
          <w:b/>
          <w:sz w:val="22"/>
        </w:rPr>
        <w:t>Draft of 11.02.01 for Discussion Purposes Only</w:t>
      </w:r>
    </w:p>
    <w:p>
      <w:pPr>
        <w:pStyle w:val="Normal"/>
        <w:tabs>
          <w:tab w:val="clear" w:pos="720"/>
          <w:tab w:val="center" w:pos="468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2001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such Group,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(a) with respect to the Enron Group, its Guarantor’s Credit Rating is below “BBB-“ by S&amp;P or below “Baa3” by Moody’s and (b) with respect to the Counterparty Group, its Guarantor’s Credit Rating is below “BBB-“ by S&amp;P or below “Baa3” by Moody’s. </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$0, and with respect to Counterparty Group, $0.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$250,000, and with respect to Counterparty Group, $250,000.</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/mnt/main-storage/datasets/enron-docs/doc/Master_Netting_Agreement_Credit_Support_Annex_11.02.01_Engage_d.doc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 w:hAnsi="CG Times" w:cs="CG Time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2001-11-02T19:35:00Z</dcterms:created>
  <dc:creator>formosos</dc:creator>
  <dc:description/>
  <dc:language>en-CA</dc:language>
  <cp:lastModifiedBy>Francisco Pinto-Leite</cp:lastModifiedBy>
  <cp:lastPrinted>2001-11-02T16:10:00Z</cp:lastPrinted>
  <dcterms:modified xsi:type="dcterms:W3CDTF">2001-11-02T21:00:00Z</dcterms:modified>
  <cp:revision>10</cp:revision>
  <dc:subject/>
  <dc:title>COLLATERAL ANNEX</dc:title>
</cp:coreProperties>
</file>