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bCs/>
          <w:sz w:val="22"/>
        </w:rPr>
      </w:pPr>
      <w:r>
        <w:rPr>
          <w:b/>
          <w:bCs/>
          <w:sz w:val="22"/>
        </w:rPr>
        <w:t>DRAFT OF 10/03/01</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 ________, 200_ (the "</w:t>
      </w:r>
      <w:r>
        <w:rPr>
          <w:sz w:val="22"/>
          <w:u w:val="single"/>
        </w:rPr>
        <w:t>Agreement</w:t>
      </w:r>
      <w:r>
        <w:rPr>
          <w:sz w:val="22"/>
        </w:rPr>
        <w:t>") among Enron Group ("</w:t>
      </w:r>
      <w:r>
        <w:rPr>
          <w:sz w:val="22"/>
          <w:u w:val="single"/>
        </w:rPr>
        <w:t>Group A</w:t>
      </w:r>
      <w:r>
        <w:rPr>
          <w:sz w:val="22"/>
        </w:rPr>
        <w:t>") and Counterparty Group ("</w:t>
      </w:r>
      <w:r>
        <w:rPr>
          <w:sz w:val="22"/>
          <w:u w:val="single"/>
        </w:rPr>
        <w:t>Group B</w:t>
      </w:r>
      <w:r>
        <w:rPr>
          <w:sz w:val="22"/>
        </w:rPr>
        <w:t xml:space="preserve">").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in relation to a Group, the aggregate of the Exposures of all members of the Group determined pursuant to Paragraph 3 of this Collateral Annex.</w:t>
      </w:r>
    </w:p>
    <w:p>
      <w:pPr>
        <w:pStyle w:val="Normal"/>
        <w:spacing w:before="240" w:after="0"/>
        <w:ind w:firstLine="720" w:end="0"/>
        <w:jc w:val="both"/>
        <w:rPr/>
      </w:pPr>
      <w:r>
        <w:rPr>
          <w:bCs/>
          <w:iCs/>
          <w:sz w:val="22"/>
        </w:rPr>
        <w:t>"</w:t>
      </w:r>
      <w:r>
        <w:rPr>
          <w:bCs/>
          <w:iCs/>
          <w:sz w:val="22"/>
          <w:u w:val="single"/>
        </w:rPr>
        <w:t>Bankrupt</w:t>
      </w:r>
      <w:r>
        <w:rPr>
          <w:bCs/>
          <w:iCs/>
          <w:sz w:val="22"/>
        </w:rPr>
        <w:t>"</w:t>
      </w:r>
      <w:r>
        <w:rPr>
          <w:sz w:val="22"/>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xml:space="preserve">" means, with respect to Enron Group, ENA, and with respect to Counterparty Group, </w:t>
      </w:r>
      <w:r>
        <w:rPr>
          <w:b/>
          <w:bCs/>
          <w:sz w:val="22"/>
        </w:rPr>
        <w:t>X</w:t>
      </w:r>
      <w:r>
        <w:rPr>
          <w:sz w:val="22"/>
        </w:rPr>
        <w: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5(b).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with respect to a Group (or its Guarantor, as the case may be) or entity, on any date of determination, the respective ratings then assigned to _________ (or its Guarantor's, as the case may be) or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w:t>
      </w:r>
    </w:p>
    <w:p>
      <w:pPr>
        <w:pStyle w:val="Normal"/>
        <w:ind w:firstLine="360" w:end="0"/>
        <w:jc w:val="both"/>
        <w:rPr>
          <w:rFonts w:ascii="Times New Roman" w:hAnsi="Times New Roman" w:cs="Times New Roman"/>
          <w:bCs/>
          <w:sz w:val="22"/>
        </w:rPr>
      </w:pPr>
      <w:r>
        <w:rPr>
          <w:rFonts w:cs="Times New Roman"/>
          <w:bCs/>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provided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bCs/>
          <w:sz w:val="22"/>
        </w:rPr>
        <w:t>"</w:t>
      </w:r>
      <w:r>
        <w:rPr>
          <w:bCs/>
          <w:sz w:val="22"/>
          <w:u w:val="single"/>
        </w:rPr>
        <w:t>Interest Rate</w:t>
      </w:r>
      <w:r>
        <w:rPr>
          <w:bCs/>
          <w:sz w:val="22"/>
        </w:rPr>
        <w:t>" means the</w:t>
      </w:r>
      <w:r>
        <w:rPr>
          <w:sz w:val="22"/>
        </w:rPr>
        <w:t xml:space="preserv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Group A, $_________ and with respect to Group B, $____________.  </w:t>
      </w:r>
    </w:p>
    <w:p>
      <w:pPr>
        <w:pStyle w:val="Normal"/>
        <w:ind w:firstLine="720" w:end="0"/>
        <w:jc w:val="both"/>
        <w:rPr>
          <w:sz w:val="22"/>
          <w:u w:val="single"/>
        </w:rPr>
      </w:pPr>
      <w:r>
        <w:rPr>
          <w:sz w:val="22"/>
          <w:u w:val="single"/>
        </w:rPr>
      </w:r>
    </w:p>
    <w:p>
      <w:pPr>
        <w:pStyle w:val="Normal"/>
        <w:ind w:start="720" w:end="0"/>
        <w:jc w:val="both"/>
        <w:rPr/>
      </w:pPr>
      <w:r>
        <w:rPr>
          <w:sz w:val="22"/>
          <w:szCs w:val="22"/>
        </w:rPr>
        <w:t>"</w:t>
      </w:r>
      <w:r>
        <w:rPr>
          <w:sz w:val="22"/>
          <w:szCs w:val="22"/>
          <w:u w:val="single"/>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has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Group A, $_________, and with respect to Group B, $____________.</w:t>
      </w:r>
    </w:p>
    <w:p>
      <w:pPr>
        <w:pStyle w:val="Normal"/>
        <w:spacing w:before="240" w:after="0"/>
        <w:ind w:firstLine="720" w:end="0"/>
        <w:jc w:val="both"/>
        <w:rPr>
          <w:sz w:val="22"/>
        </w:rPr>
      </w:pPr>
      <w:r>
        <w:rPr>
          <w:sz w:val="22"/>
          <w:szCs w:val="22"/>
        </w:rPr>
        <w:t>"</w:t>
      </w:r>
      <w:r>
        <w:rPr>
          <w:sz w:val="22"/>
          <w:szCs w:val="22"/>
          <w:u w:val="single"/>
        </w:rPr>
        <w:t>S&amp;P</w:t>
      </w:r>
      <w:r>
        <w:rPr>
          <w:sz w:val="22"/>
          <w:szCs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into one or more bank accounts specified by the recipient; (b) in the case of Letters of Credit, delivery of the Letter of Credit or an amendment thereto to the recipient; and (c) in the case of any other type of Performance Assurance, as agreed to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Encumbrance; 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member of Pledging Group hereby pledges, assigns, conveys and transfers to each member of Secured Group, and hereby grants to Secured Group and each member thereof a present and continuing security interest in and to, and a general first lien upon and right of set off against,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each member of Pledging Group agrees to take such action as Secured Group reasonably requests in order to perfect Secured Group's and its members' continuing security interest in, lien on, and right of setoff against such Performance Assurance.</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for all Transactions thereunder for which there are any Obligations remaining unpaid or unperformed and (ii) the Exposure for each Counterparty Party under each Underlying Master Agreement shall be calculated for all Transactions for which there are any Obligations remaining unpaid or unperformed.  The Exposure of each Enron Party to each Counterparty Party under each Underlying Master Agreement as determined above shall be aggregated to determine the "</w:t>
      </w:r>
      <w:r>
        <w:rPr>
          <w:sz w:val="22"/>
          <w:u w:val="single"/>
        </w:rPr>
        <w:t>Enron Group's Aggregate Exposure</w:t>
      </w:r>
      <w:r>
        <w:rPr>
          <w:sz w:val="22"/>
        </w:rPr>
        <w:t>" to Counterparty Group.  The Exposure of each Counterparty Party to each Enron Party under each Underlying Master Agreement as determined above shall be aggregated 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Secured Group's Net Exposure minus the sum of (ii):</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b/>
          <w:bCs/>
          <w:color w:val="000000"/>
          <w:sz w:val="22"/>
        </w:rPr>
      </w:pPr>
      <w:r>
        <w:rPr>
          <w:sz w:val="22"/>
        </w:rPr>
        <w:t>(C) the Value of each Letter of Credit maintained by the Pledging Group for the benefit of Secured Group; p</w:t>
      </w:r>
      <w:r>
        <w:rPr>
          <w:color w:val="000000"/>
          <w:sz w:val="22"/>
        </w:rPr>
        <w:t xml:space="preserve">rovided, whenever Pledging Group's Exposure Threshold is zero (0) on account of the occurrence of a Material Adverse Change or Default with respect to Pledging Group, then the amount in (i) above shall equal 125% of Secured Group's Net Exposure.   </w:t>
      </w:r>
    </w:p>
    <w:p>
      <w:pPr>
        <w:pStyle w:val="Normal"/>
        <w:tabs>
          <w:tab w:val="clear" w:pos="720"/>
          <w:tab w:val="left" w:pos="0" w:leader="none"/>
        </w:tabs>
        <w:suppressAutoHyphens w:val="true"/>
        <w:jc w:val="both"/>
        <w:rPr>
          <w:b/>
          <w:bCs/>
          <w:color w:val="000000"/>
          <w:sz w:val="22"/>
        </w:rPr>
      </w:pPr>
      <w:r>
        <w:rPr>
          <w:b/>
          <w:bCs/>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Early Termination Date has occurred or been designated as a result of a Default with respect to Secured Group for which there exist any unsatisfied payment Obligations,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a Pledging Group on or before the Notification Time on a Business Day shall be provided by the close of business on the next Business Day.</w:t>
      </w:r>
      <w:r>
        <w:rPr>
          <w:sz w:val="22"/>
        </w:rPr>
        <w:t xml:space="preserve">  Any Letter of Credit shall be delivered to such address as Secured Group shall specify and any such demand made by Secured Group pursuant to this Section 4 shall specify account information for the account to which Performance Assurance in the form of Cash shall be delivered.  </w:t>
      </w:r>
      <w:r>
        <w:rPr>
          <w:b/>
          <w:bCs/>
          <w:sz w:val="22"/>
        </w:rPr>
        <w:t xml:space="preserve"> </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 On any Business Day (but no more frequently than weekly with respect to Letters of Credit and daily with respect to Cash), Pledging Group may request a reduction in the amount of Performance Assurance previously provided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Early Termination Date for which any unsatisfied payment obligations of Pledging Group exists, has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w:t>
      </w:r>
      <w:r>
        <w:rPr>
          <w:bCs/>
          <w:sz w:val="22"/>
        </w:rPr>
        <w:t xml:space="preserve">.  Unless otherwise agreed in writing by the Parties, if Pledging Group's reduction demand is made on or before the Notification Time on a Business Day, then </w:t>
      </w:r>
      <w:r>
        <w:rPr>
          <w:sz w:val="22"/>
        </w:rPr>
        <w:t>Secured Group shall have one Business Day to effect a permitted reduction in Performance Assurance if such reduction is to be effected by the return of Cash to Pledging Group.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Except when (i) a Default or Potential Event of Default with respect to Pledging Group shall have occurred and be continuing or (ii) if an Early Termination Date has occurred or been designated as a result of a Default with respect to Pledging Group, Pledging Group may substitute Performance Assurance for other existing Performance Assurance of equal Value upon one Business Day's written notice (provided such notice is made on or before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delivered simultaneously or has been delivered to Secured Group prior to the release of the Performance Assurance to be returned to Pledging Group and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Section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Section 5 shall be deemed a release by Secured Group of its security interest, general first lien and right of offset granted pursuant to Section 2 hereof only with respect to such returned Performance Assurance.  In connection with each Transfer of any Performance Assurance pursuant to this Section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szCs w:val="22"/>
        </w:rPr>
      </w:pPr>
      <w:r>
        <w:rPr>
          <w:sz w:val="22"/>
          <w:szCs w:val="22"/>
        </w:rPr>
      </w:r>
    </w:p>
    <w:p>
      <w:pPr>
        <w:pStyle w:val="Normal"/>
        <w:ind w:firstLine="720" w:end="0"/>
        <w:jc w:val="both"/>
        <w:rPr>
          <w:sz w:val="22"/>
          <w:szCs w:val="22"/>
        </w:rPr>
      </w:pPr>
      <w:r>
        <w:rPr>
          <w:sz w:val="22"/>
          <w:szCs w:val="22"/>
        </w:rPr>
        <w:t>(i) Group A and its Custodian will be entitled to hold Cash pursuant hereto provided the following conditions applicable to it are satisfied.</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 Group A is not in Default and a Material Adverse Change has not occurred with respect to Group A.</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Group B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Group B, subject to the security interest of Group A.</w:t>
      </w:r>
    </w:p>
    <w:p>
      <w:pPr>
        <w:pStyle w:val="Normal"/>
        <w:ind w:firstLine="720" w:end="0"/>
        <w:jc w:val="both"/>
        <w:rPr>
          <w:sz w:val="22"/>
          <w:szCs w:val="22"/>
        </w:rPr>
      </w:pPr>
      <w:r>
        <w:rPr>
          <w:sz w:val="22"/>
          <w:szCs w:val="22"/>
        </w:rPr>
        <w:t>(ii) Group B and its Custodian will be entitled to hold Cash pursuant hereto provided the following conditions applicable to it are satisfied.</w:t>
      </w:r>
    </w:p>
    <w:p>
      <w:pPr>
        <w:pStyle w:val="Normal"/>
        <w:ind w:start="900" w:end="0"/>
        <w:jc w:val="both"/>
        <w:rPr>
          <w:sz w:val="22"/>
          <w:szCs w:val="22"/>
        </w:rPr>
      </w:pPr>
      <w:r>
        <w:rPr>
          <w:sz w:val="22"/>
          <w:szCs w:val="22"/>
        </w:rPr>
      </w:r>
    </w:p>
    <w:p>
      <w:pPr>
        <w:pStyle w:val="Normal"/>
        <w:ind w:start="720" w:end="0"/>
        <w:jc w:val="both"/>
        <w:rPr>
          <w:sz w:val="22"/>
          <w:szCs w:val="22"/>
        </w:rPr>
      </w:pPr>
      <w:r>
        <w:rPr>
          <w:sz w:val="22"/>
          <w:szCs w:val="22"/>
        </w:rPr>
        <w:t>(A) Group B is not in Default and a Material Adverse Change has not occurred with respect to Group B.</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Group A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Group A, subject to the security interest of Group B.</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Early Termination Date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bCs/>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bCs/>
          <w:sz w:val="22"/>
        </w:rPr>
      </w:pPr>
      <w:r>
        <w:rPr>
          <w:sz w:val="22"/>
        </w:rPr>
        <w:t>(v) So long as no Default or Potential Event of Default with respect to Pledging Group has occurred and is continuing, and no Early Termination Date for which any unsatisfied payment Obligations of Pledging Group exist has occurred or been designated as the result of a Default with respect to Pledging Group, and to the extent that an obligation to deliver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Early Termination Date as a result of a Default with respect to Pledging Group, Secured Group shall retain any such Interest Amount as additional Performance Assurance hereunder until the obligations of Pledging Group under the Agreement have been satisfied in the case of an Early Termination Date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w:t>
      </w:r>
      <w:r>
        <w:rPr>
          <w:bCs/>
          <w:sz w:val="22"/>
        </w:rPr>
        <w: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pPr>
      <w:r>
        <w:rPr>
          <w:sz w:val="22"/>
          <w:szCs w:val="24"/>
        </w:rPr>
        <w:t>(iv) U</w:t>
      </w:r>
      <w:r>
        <w:rPr>
          <w:sz w:val="22"/>
        </w:rPr>
        <w:t xml:space="preserve">pon or at any time after the occurrence of a Default with respect to Pledging Group, or if an Underlying Master Agreement Close-Out has occurred or been designated as a result of a Default with respect to Pledging Group, then </w:t>
      </w:r>
      <w:r>
        <w:rPr>
          <w:sz w:val="22"/>
          <w:szCs w:val="24"/>
        </w:rPr>
        <w:t xml:space="preserve">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szCs w:val="24"/>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pPr>
      <w:r>
        <w:rPr>
          <w:sz w:val="22"/>
        </w:rPr>
        <w:t>(vi) In all cases, n</w:t>
      </w:r>
      <w:r>
        <w:rPr>
          <w:sz w:val="22"/>
          <w:szCs w:val="24"/>
        </w:rPr>
        <w:t xml:space="preserve">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w:t>
      </w:r>
      <w:r>
        <w:rPr>
          <w:sz w:val="22"/>
        </w:rPr>
        <w:t>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the Counterparty Group as its Collateral Administrator hereunder and ratifies and confirms any and all acts of such Collateral Administrator as its own.  Each Enron Party does hereby appoint the Collateral Administrator for the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Early Termination Date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Early Termination Date occurs or is deemed to occur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Early Termination Date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(z) exercise rights and remedies available to Pledging Group under the terms of any Letter of Credit; and</w:t>
      </w:r>
    </w:p>
    <w:p>
      <w:pPr>
        <w:pStyle w:val="BodyTextIndent2"/>
        <w:ind w:start="720" w:end="0"/>
        <w:rPr>
          <w:rFonts w:ascii="Times New Roman" w:hAnsi="Times New Roman" w:cs="Times New Roman"/>
          <w:sz w:val="22"/>
          <w:szCs w:val="24"/>
        </w:rPr>
      </w:pPr>
      <w:r>
        <w:rPr>
          <w:rFonts w:cs="Times New Roman" w:ascii="Times New Roman" w:hAnsi="Times New Roman"/>
          <w:sz w:val="22"/>
          <w:szCs w:val="24"/>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pPr>
      <w:r>
        <w:rPr>
          <w:sz w:val="22"/>
        </w:rPr>
        <w:tab/>
        <w:t xml:space="preserve">(a) If Pledging Group shall dispute the amount of Performance Assurance requested by Secured Group and such dispute relates to the amount of the Net Exposure claimed by Secured Group, then Pledging Group shall </w:t>
      </w:r>
      <w:r>
        <w:rPr>
          <w:bCs/>
          <w:sz w:val="22"/>
        </w:rPr>
        <w:t>(i) notify Secured Group of the existence and nature of the dispute not later than the Notification Time on the first Business Day following the date that the demand for Performance Assurance is made by Secured Group,</w:t>
      </w:r>
      <w:r>
        <w:rPr>
          <w:sz w:val="22"/>
        </w:rPr>
        <w:t xml:space="preserve">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w:t>
      </w:r>
      <w:r>
        <w:rPr>
          <w:bCs/>
          <w:sz w:val="22"/>
        </w:rPr>
        <w:t>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w:t>
      </w:r>
      <w:r>
        <w:rPr>
          <w:sz w:val="22"/>
        </w:rPr>
        <w:t xml:space="preserve">.  </w:t>
      </w:r>
    </w:p>
    <w:p>
      <w:pPr>
        <w:pStyle w:val="Normal"/>
        <w:spacing w:before="240" w:after="0"/>
        <w:ind w:firstLine="720" w:end="0"/>
        <w:jc w:val="both"/>
        <w:rPr/>
      </w:pPr>
      <w:r>
        <w:rPr>
          <w:sz w:val="22"/>
        </w:rPr>
        <w:t xml:space="preserve">(b)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sz w:val="22"/>
        </w:rPr>
      </w:pPr>
      <w:r>
        <w:rPr>
          <w:sz w:val="22"/>
        </w:rPr>
        <w:t xml:space="preserve">DATE OF ISSUANCE:  </w:t>
      </w:r>
      <w:r>
        <w:rPr>
          <w:sz w:val="22"/>
          <w:u w:val="single"/>
        </w:rPr>
        <w:tab/>
        <w:tab/>
        <w:tab/>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bCs/>
          <w:sz w:val="22"/>
        </w:rPr>
        <w:t>[</w:t>
      </w:r>
      <w:r>
        <w:rPr>
          <w:sz w:val="22"/>
        </w:rPr>
        <w:t>Enron North America Corp.</w:t>
      </w:r>
      <w:r>
        <w:rPr>
          <w:b/>
          <w:bCs/>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pPr>
      <w:r>
        <w:rPr>
          <w:sz w:val="22"/>
          <w:szCs w:val="24"/>
        </w:rPr>
        <w:t>2.</w:t>
        <w:tab/>
        <w:t xml:space="preserve">"An Underlying Master Agreement Close-Out </w:t>
      </w:r>
      <w:r>
        <w:rPr>
          <w:sz w:val="22"/>
        </w:rPr>
        <w:t>(as defined in the Master Netting, Setoff, and Security Agreement dated as of ________ among ______________, as the same may be amended (the "Master Agreement"))</w:t>
      </w:r>
      <w:r>
        <w:rPr>
          <w:sz w:val="22"/>
          <w:szCs w:val="24"/>
        </w:rPr>
        <w:t xml:space="preserve"> has occurred or been designated as a result of a Default with respect to Account Group </w:t>
      </w:r>
      <w:r>
        <w:rPr>
          <w:sz w:val="22"/>
        </w:rPr>
        <w:t xml:space="preserve">or any member of the Account Group </w:t>
      </w:r>
      <w:r>
        <w:rPr>
          <w:sz w:val="22"/>
          <w:szCs w:val="24"/>
        </w:rPr>
        <w:t>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w:t>
      </w:r>
      <w:r>
        <w:rPr>
          <w:sz w:val="22"/>
        </w:rPr>
        <w: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szCs w:val="24"/>
        </w:rPr>
      </w:pPr>
      <w:r>
        <w:rPr>
          <w:rFonts w:cs="Times New Roman" w:ascii="Times New Roman" w:hAnsi="Times New Roman"/>
          <w:sz w:val="22"/>
          <w:szCs w:val="24"/>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rPr>
        <w:rStyle w:val="PageNumber"/>
        <w:sz w:val="12"/>
      </w:rPr>
    </w:pPr>
    <w:bookmarkStart w:id="1" w:name="DocName"/>
    <w:bookmarkEnd w:id="1"/>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/mnt/main-storage/datasets/enron-docs/doc/Master_Netting_Agreement_Credit_Support_Annex.doc</w:t>
    </w:r>
    <w:r>
      <w:rPr>
        <w:rStyle w:val="PageNumber"/>
        <w:sz w:val="12"/>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2001-10-03T11:38:00Z</dcterms:created>
  <dc:creator>formosos</dc:creator>
  <dc:description/>
  <dc:language>en-CA</dc:language>
  <cp:lastModifiedBy>mcook</cp:lastModifiedBy>
  <cp:lastPrinted>2001-10-04T17:48:00Z</cp:lastPrinted>
  <dcterms:modified xsi:type="dcterms:W3CDTF">2001-10-04T20:19:00Z</dcterms:modified>
  <cp:revision>27</cp:revision>
  <dc:subject/>
  <dc:title>COLLATERAL ANNEX</dc:title>
</cp:coreProperties>
</file>