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BBodyText"/>
        <w:rPr/>
      </w:pPr>
      <w:r>
        <w:rPr>
          <w:b/>
          <w:bCs/>
        </w:rPr>
        <w:t xml:space="preserve">THIS AGREEMENT </w:t>
      </w:r>
      <w:r>
        <w:rPr/>
        <w:t xml:space="preserve">is made the </w:t>
        <w:tab/>
        <w:tab/>
        <w:t>day of</w:t>
        <w:tab/>
        <w:tab/>
        <w:tab/>
        <w:t>2001</w:t>
      </w:r>
    </w:p>
    <w:p>
      <w:pPr>
        <w:pStyle w:val="RBBodyText"/>
        <w:rPr>
          <w:b/>
          <w:bCs/>
        </w:rPr>
      </w:pPr>
      <w:r>
        <w:rPr>
          <w:b/>
          <w:bCs/>
        </w:rPr>
        <w:t>B E T W E E N :-</w:t>
      </w:r>
    </w:p>
    <w:p>
      <w:pPr>
        <w:pStyle w:val="RBBodyText"/>
        <w:rPr/>
      </w:pPr>
      <w:r>
        <w:rPr>
          <w:b/>
          <w:bCs/>
        </w:rPr>
        <w:t>(1)</w:t>
        <w:tab/>
      </w:r>
      <w:r>
        <w:rPr/>
        <w:t>KLEIMAR N.V. of Suikerrui 5, 2000 Antwerp, Belgium (“Kleimar”)</w:t>
      </w:r>
    </w:p>
    <w:p>
      <w:pPr>
        <w:pStyle w:val="RBBodyText"/>
        <w:rPr/>
      </w:pPr>
      <w:r>
        <w:rPr/>
        <w:tab/>
        <w:t>and</w:t>
      </w:r>
    </w:p>
    <w:p>
      <w:pPr>
        <w:pStyle w:val="RBBodyText"/>
        <w:rPr/>
      </w:pPr>
      <w:r>
        <w:rPr>
          <w:b/>
          <w:bCs/>
        </w:rPr>
        <w:t>(2)</w:t>
      </w:r>
      <w:r>
        <w:rPr/>
        <w:tab/>
        <w:t>ENRON CAPITAL &amp; TRADE RESOURCES INTERNATIONAL CORP. acting through ENRON EUROPE FINANCE and TRADING LIMTED of London, UK (“Enron”)</w:t>
      </w:r>
    </w:p>
    <w:p>
      <w:pPr>
        <w:pStyle w:val="RBBodyText"/>
        <w:rPr/>
      </w:pPr>
      <w:r>
        <w:rPr>
          <w:b/>
          <w:bCs/>
        </w:rPr>
        <w:t>WHEREAS</w:t>
      </w:r>
      <w:r>
        <w:rPr/>
        <w:t xml:space="preserve"> :-</w:t>
      </w:r>
    </w:p>
    <w:p>
      <w:pPr>
        <w:pStyle w:val="RBBodyText"/>
        <w:rPr/>
      </w:pPr>
      <w:r>
        <w:rPr>
          <w:b/>
          <w:bCs/>
        </w:rPr>
        <w:t>A.</w:t>
      </w:r>
      <w:r>
        <w:rPr/>
        <w:tab/>
        <w:t>Kleimar wish to charter a vessel from Enron on a time charter basis.</w:t>
      </w:r>
    </w:p>
    <w:p>
      <w:pPr>
        <w:pStyle w:val="RBBodyText"/>
        <w:rPr/>
      </w:pPr>
      <w:r>
        <w:rPr>
          <w:b/>
          <w:bCs/>
        </w:rPr>
        <w:t>B.</w:t>
      </w:r>
      <w:r>
        <w:rPr/>
        <w:tab/>
        <w:t>Enron is willing to enter into a Contract of Affreightment with Kleimar</w:t>
      </w:r>
    </w:p>
    <w:p>
      <w:pPr>
        <w:pStyle w:val="RBBodyText"/>
        <w:ind w:hanging="709" w:start="709" w:end="0"/>
        <w:rPr/>
      </w:pPr>
      <w:r>
        <w:rPr>
          <w:b/>
          <w:bCs/>
        </w:rPr>
        <w:t>C.</w:t>
        <w:tab/>
      </w:r>
      <w:r>
        <w:rPr/>
        <w:t>Kleimar and Enron may from time to time enter into one or more other contracts relating to the carriage of cargo, transportation, freight and derivatives thereof (individually and together “Other Contracts”).</w:t>
      </w:r>
    </w:p>
    <w:p>
      <w:pPr>
        <w:pStyle w:val="RBBodyText"/>
        <w:ind w:hanging="709" w:start="709" w:end="0"/>
        <w:rPr/>
      </w:pPr>
      <w:r>
        <w:rPr>
          <w:b/>
          <w:bCs/>
        </w:rPr>
        <w:t>D.</w:t>
      </w:r>
      <w:r>
        <w:rPr/>
        <w:tab/>
        <w:t>Kleimar and Enron wish to regulate the performance of their respective obligations and provide a machinery for dealing with defaults.</w:t>
      </w:r>
    </w:p>
    <w:p>
      <w:pPr>
        <w:pStyle w:val="RBBodyText"/>
        <w:rPr>
          <w:b/>
          <w:bCs/>
        </w:rPr>
      </w:pPr>
      <w:r>
        <w:rPr>
          <w:b/>
          <w:bCs/>
        </w:rPr>
        <w:t>IT IS AGREED :-</w:t>
      </w:r>
    </w:p>
    <w:p>
      <w:pPr>
        <w:pStyle w:val="Heading1"/>
        <w:ind w:hanging="0" w:start="0"/>
        <w:rPr/>
      </w:pPr>
      <w:r>
        <w:rPr/>
        <w:t>Kleimar shall charter a vessel from Enron on the terms and conditions of the time charter attached hereto at Appendix 1 (“the Time Charter”).</w:t>
      </w:r>
    </w:p>
    <w:p>
      <w:pPr>
        <w:pStyle w:val="Heading1"/>
        <w:ind w:hanging="0" w:start="0"/>
        <w:rPr/>
      </w:pPr>
      <w:r>
        <w:rPr/>
        <w:t>Enron will enter into a Contract of Affreightment with Kleimar on the terms and conditions of the contract attached hereto at Appendix 2 (“the COA”).</w:t>
      </w:r>
    </w:p>
    <w:p>
      <w:pPr>
        <w:pStyle w:val="Heading1"/>
        <w:ind w:hanging="0" w:start="0"/>
        <w:rPr/>
      </w:pPr>
      <w:r>
        <w:rPr/>
        <w:t>Kleimar shall within [</w:t>
        <w:tab/>
        <w:tab/>
        <w:t>] days of a request by Enron provide a letter of credit from a first class London Bank reasonably acceptable to Enron in the amount of US$ 250,000 in the terms attached hereto as Appendix 3 (“the Letter of Credit”).</w:t>
      </w:r>
    </w:p>
    <w:p>
      <w:pPr>
        <w:pStyle w:val="Heading1"/>
        <w:ind w:hanging="0" w:start="0"/>
        <w:rPr/>
      </w:pPr>
      <w:r>
        <w:rPr/>
        <w:t>The Time Charter, COA and Other Contracts and the performance thereof shall be subject to the provisions of this Agreement and, in the event of any conflict between the provisions of this Agreement and either the Time Charter or COA or Other Contracts, the provisions of this Agreement shall prevail.</w:t>
      </w:r>
    </w:p>
    <w:p>
      <w:pPr>
        <w:pStyle w:val="RBBodyText"/>
        <w:ind w:hanging="709" w:start="709" w:end="0"/>
        <w:rPr/>
      </w:pPr>
      <w:r>
        <w:rPr>
          <w:rStyle w:val="GillBold"/>
        </w:rPr>
        <w:t>5.1</w:t>
        <w:tab/>
      </w:r>
      <w:r>
        <w:rPr/>
        <w:t>A default shall occur and be deemed to occur if:</w:t>
      </w:r>
    </w:p>
    <w:p>
      <w:pPr>
        <w:pStyle w:val="Heading2"/>
        <w:ind w:hanging="0" w:start="0"/>
        <w:rPr/>
      </w:pPr>
      <w:r>
        <w:rPr/>
        <w:t>there is a Cross Default.</w:t>
      </w:r>
    </w:p>
    <w:p>
      <w:pPr>
        <w:pStyle w:val="Heading2"/>
        <w:ind w:hanging="0" w:start="0"/>
        <w:rPr/>
      </w:pPr>
      <w:r>
        <w:rPr/>
        <w:t>Kleimar undergoes a material adverse change, that is to say:</w:t>
      </w:r>
    </w:p>
    <w:p>
      <w:pPr>
        <w:pStyle w:val="Heading3"/>
        <w:ind w:hanging="0" w:start="0"/>
        <w:rPr/>
      </w:pPr>
      <w:r>
        <w:rPr/>
        <w:t>if Kleimar’s Capital and Reserves plus Subordinated Loans falls below eight million (8,000,000) Euros.</w:t>
      </w:r>
    </w:p>
    <w:p>
      <w:pPr>
        <w:pStyle w:val="Heading2"/>
        <w:ind w:hanging="0" w:start="0"/>
        <w:rPr/>
      </w:pPr>
      <w:r>
        <w:rPr/>
        <w:t>Kleimar or Enron is unable or admits an inability to pay its debts as they fall due, suspends making payments on any of its debts or, by reason of actual or anticipated financial difficulties starts negotiations with any of its creditors with a view to rescheduling its liabilities, or if any corporate action or proceedings or other procedure is taken in relation to any of the above, or if a liquidator, receiver, administrator, administrative receiver or other similar officer is appointed in respect of their behalf or any of their assets or if any analogous step is taken in any jurisdiction; or</w:t>
      </w:r>
    </w:p>
    <w:p>
      <w:pPr>
        <w:pStyle w:val="Heading2"/>
        <w:ind w:hanging="0" w:start="0"/>
        <w:rPr/>
      </w:pPr>
      <w:r>
        <w:rPr/>
        <w:t>Kleimar undergoes a change of ownership.</w:t>
      </w:r>
    </w:p>
    <w:p>
      <w:pPr>
        <w:pStyle w:val="Heading2"/>
        <w:ind w:hanging="0" w:start="0"/>
        <w:rPr/>
      </w:pPr>
      <w:r>
        <w:rPr/>
        <w:t>Kleimar fails to provide the Letter of Credit in accordance with Clause 3.</w:t>
      </w:r>
    </w:p>
    <w:p>
      <w:pPr>
        <w:pStyle w:val="Indent1"/>
        <w:rPr/>
      </w:pPr>
      <w:r>
        <w:rPr/>
        <w:t>(in each case, a “Default”.)</w:t>
      </w:r>
    </w:p>
    <w:p>
      <w:pPr>
        <w:pStyle w:val="RBBodyText"/>
        <w:ind w:hanging="709" w:start="709" w:end="0"/>
        <w:rPr/>
      </w:pPr>
      <w:r>
        <w:rPr>
          <w:rStyle w:val="GillBold"/>
        </w:rPr>
        <w:t>5.2</w:t>
        <w:tab/>
      </w:r>
      <w:r>
        <w:rPr/>
        <w:t>In the event of a Default, the party in default shall be deemed to have repudiated the Time Charter, the COA and Other Contracts, and the other party in its sole discretion, shall, by or at any time after giving notice specifying the nature of the Default, be entitled but not obliged to terminate the Time Charter, the COA and Other Contracts and claim compensation following netting out from that date (“Termination Date”) as provided in Clause 7 without prejudice and in addition to any other claims, rights or remedies he might have.</w:t>
      </w:r>
    </w:p>
    <w:p>
      <w:pPr>
        <w:pStyle w:val="RBBodyText"/>
        <w:ind w:hanging="709" w:start="709" w:end="0"/>
        <w:rPr/>
      </w:pPr>
      <w:r>
        <w:rPr>
          <w:rStyle w:val="GillBold"/>
        </w:rPr>
        <w:t>6.1</w:t>
        <w:tab/>
      </w:r>
      <w:r>
        <w:rPr/>
        <w:t xml:space="preserve">There shall be a Cross Default if:- </w:t>
      </w:r>
    </w:p>
    <w:p>
      <w:pPr>
        <w:sectPr>
          <w:footerReference w:type="default" r:id="rId2"/>
          <w:type w:val="nextPage"/>
          <w:pgSz w:w="11906" w:h="16838"/>
          <w:pgMar w:left="1418" w:right="1418" w:gutter="0" w:header="0" w:top="2183" w:footer="539" w:bottom="1531"/>
          <w:pgNumType w:fmt="decimal"/>
          <w:formProt w:val="false"/>
          <w:textDirection w:val="lrTb"/>
          <w:docGrid w:type="default" w:linePitch="313" w:charSpace="0"/>
        </w:sectPr>
      </w:pPr>
    </w:p>
    <w:p>
      <w:pPr>
        <w:pStyle w:val="Heading2"/>
        <w:numPr>
          <w:ilvl w:val="1"/>
          <w:numId w:val="5"/>
        </w:numPr>
        <w:ind w:hanging="0" w:start="0"/>
        <w:rPr/>
      </w:pPr>
      <w:r>
        <w:rPr/>
        <w:t>during the currency of this Agreement, Kleimar fails to pay hire in accordance with the Time Charter, or Kleimar or any affiliates default on payment(s) under Other Contracts or on payments to any other freight related payments to third parties in an amount aggregate exceeding 250,000 USD.</w:t>
      </w:r>
    </w:p>
    <w:p>
      <w:pPr>
        <w:pStyle w:val="Heading2"/>
        <w:ind w:hanging="0" w:start="0"/>
        <w:rPr/>
      </w:pPr>
      <w:r>
        <w:rPr/>
        <w:t>Kleimar or any affiliates are in material breach of the Time Charter, COA or Other Contracts and such breach has not been remedied within 5 days notice to do so.</w:t>
      </w:r>
    </w:p>
    <w:p>
      <w:pPr>
        <w:pStyle w:val="RBBodyText"/>
        <w:ind w:hanging="709" w:start="709" w:end="0"/>
        <w:rPr/>
      </w:pPr>
      <w:r>
        <w:rPr>
          <w:rStyle w:val="GillBold"/>
        </w:rPr>
        <w:t>6.2</w:t>
      </w:r>
      <w:r>
        <w:rPr/>
        <w:tab/>
        <w:t>Affiliate means any entity controlled directly or indirectly by Kleimar or any entity that controls directly or indirectly Kleimar, or any entity directly or indirectly under the same control as Kleimar and control means ownership of a majority of the voting power of that entity.</w:t>
      </w:r>
    </w:p>
    <w:p>
      <w:pPr>
        <w:pStyle w:val="RBBodyText"/>
        <w:ind w:hanging="709" w:start="709" w:end="0"/>
        <w:rPr/>
      </w:pPr>
      <w:r>
        <w:rPr>
          <w:rFonts w:cs="Arial;helvetica" w:ascii="Arial;helvetica" w:hAnsi="Arial;helvetica"/>
          <w:b/>
          <w:bCs/>
          <w:sz w:val="18"/>
        </w:rPr>
        <w:t>7.1</w:t>
        <w:tab/>
      </w:r>
      <w:r>
        <w:rPr/>
        <w:t>If the party not in default claims compensation following netting out:-</w:t>
      </w:r>
    </w:p>
    <w:p>
      <w:pPr>
        <w:pStyle w:val="Heading2"/>
        <w:numPr>
          <w:ilvl w:val="0"/>
          <w:numId w:val="0"/>
        </w:numPr>
        <w:ind w:hanging="709" w:start="1418" w:end="0"/>
        <w:rPr/>
      </w:pPr>
      <w:r>
        <w:rPr>
          <w:b/>
          <w:bCs/>
        </w:rPr>
        <w:t>(a)</w:t>
      </w:r>
      <w:r>
        <w:rPr/>
        <w:tab/>
        <w:t>The Time Charter, COA and Other Contracts (other than contracts involving freight futures and other derivatives) will each be netted out in accordance with any provisions contained therein.</w:t>
      </w:r>
    </w:p>
    <w:p>
      <w:pPr>
        <w:pStyle w:val="Heading2"/>
        <w:numPr>
          <w:ilvl w:val="0"/>
          <w:numId w:val="0"/>
        </w:numPr>
        <w:ind w:hanging="709" w:start="1418" w:end="0"/>
        <w:rPr/>
      </w:pPr>
      <w:r>
        <w:rPr>
          <w:b/>
          <w:bCs/>
        </w:rPr>
        <w:t>(b)</w:t>
      </w:r>
      <w:r>
        <w:rPr/>
        <w:tab/>
        <w:t>If and to the extent the Time Charter, COA and Other Contracts do not provide for netting out, the following provisions shall apply:-</w:t>
      </w:r>
    </w:p>
    <w:p>
      <w:pPr>
        <w:pStyle w:val="RBBodyText"/>
        <w:rPr/>
      </w:pPr>
      <w:r>
        <w:rPr/>
      </w:r>
    </w:p>
    <w:p>
      <w:pPr>
        <w:pStyle w:val="RBBodyText"/>
        <w:ind w:hanging="709" w:start="1418" w:end="0"/>
        <w:rPr/>
      </w:pPr>
      <w:r>
        <w:rPr>
          <w:b/>
          <w:bCs/>
        </w:rPr>
        <w:t>(i)</w:t>
      </w:r>
      <w:r>
        <w:rPr/>
        <w:tab/>
        <w:t>the party not in default shall calculate its Gains, Losses and Costs resulting from the termination of the Time Charter, COA and Other Contracts at the Termination Date.  The Gains, Losses and Costs shall be determined by the party not in default acting in good faith and in a commercially reasonable manner (such determination to be conclusive and binding in the absence of manifest error) by comparing the value of the remaining term, period or cargo quantity under the Time Charter, COA or Other Contracts (had it not been terminated) to the equivalent market prices or value for the remaining term, period or cargo quantity either quoted by a bona fide third-party or which are reasonably expected to be available in the market under a replacement contract.  A party shall not be required to enter into replacement contracts in order to make such determination.  The party not in default shall aggregate such Gains, Losses and Costs with respect to all terminated contracts into a single net amount and notify the party in default of such amount.  If the aggregate Losses and Costs of the party not in default exceed its aggregate Gains, the party in default shall, within five (5) Business Days of receipt of such notice, pay such net amount to the party not in default, which amount shall bear interest at the rate of one month LIBOR plus 3% until paid.  If the aggregate Gains of the party not in default exceed its aggregate Losses and Costs, he shall pay such excess to the party in default on or before ten (10) days after the end of the month ending on or after the</w:t>
      </w:r>
    </w:p>
    <w:p>
      <w:pPr>
        <w:pStyle w:val="Indent1"/>
        <w:rPr/>
      </w:pPr>
      <w:r>
        <w:rPr>
          <w:b/>
          <w:bCs/>
        </w:rPr>
        <w:t>(ii)</w:t>
      </w:r>
      <w:r>
        <w:rPr/>
        <w:tab/>
        <w:t>As used herein:</w:t>
      </w:r>
    </w:p>
    <w:p>
      <w:pPr>
        <w:pStyle w:val="Indent2"/>
        <w:ind w:hanging="709" w:start="2127" w:end="0"/>
        <w:rPr/>
      </w:pPr>
      <w:r>
        <w:rPr>
          <w:b/>
          <w:bCs/>
        </w:rPr>
        <w:t>(aa)</w:t>
      </w:r>
      <w:r>
        <w:rPr/>
        <w:tab/>
        <w:t>“Costs” shall mean, with respect to such party, brokerage fees, commissions and other similar transaction costs and expenses reasonably incurred by such party;</w:t>
      </w:r>
    </w:p>
    <w:p>
      <w:pPr>
        <w:pStyle w:val="Indent2"/>
        <w:ind w:hanging="709" w:start="2127" w:end="0"/>
        <w:rPr/>
      </w:pPr>
      <w:r>
        <w:rPr>
          <w:b/>
          <w:bCs/>
        </w:rPr>
        <w:t>(bb)</w:t>
      </w:r>
      <w:r>
        <w:rPr/>
        <w:tab/>
        <w:t xml:space="preserve">“Gains” shall mean, with respect to a party, an amount equal to the present value of the economic benefit, if any, (exclusive of Costs) to it resulting from the termination of its obligations with respect to the Time Charter, COA or Other Contracts, determined in a commercially reasonable manner; and </w:t>
      </w:r>
    </w:p>
    <w:p>
      <w:pPr>
        <w:pStyle w:val="Indent2"/>
        <w:ind w:hanging="709" w:start="2127" w:end="0"/>
        <w:rPr/>
      </w:pPr>
      <w:r>
        <w:rPr>
          <w:b/>
          <w:bCs/>
        </w:rPr>
        <w:t>(c)</w:t>
      </w:r>
      <w:r>
        <w:rPr/>
        <w:tab/>
        <w:t>“Losses” shall mean an amount equal to the present value of the economic loss, if any, (exclusive of Costs) to it resulting from the termination of its obligations with respect to a contract, determined in a commercially reasonable manner.</w:t>
      </w:r>
    </w:p>
    <w:p>
      <w:pPr>
        <w:pStyle w:val="Heading2"/>
        <w:numPr>
          <w:ilvl w:val="0"/>
          <w:numId w:val="0"/>
        </w:numPr>
        <w:ind w:hanging="709" w:start="1418" w:end="0"/>
        <w:rPr/>
      </w:pPr>
      <w:r>
        <w:rPr>
          <w:b/>
          <w:bCs/>
        </w:rPr>
        <w:t>(iii)</w:t>
      </w:r>
      <w:r>
        <w:rPr/>
        <w:tab/>
        <w:t>Without prejudice to the rights in Clauses 5 and 7, the party not in default may additionally, at its option and in its discretion, setoff, against any amounts owed to the other party or any affiliates under the Time Charter, COA and Other Contracts any amounts owed by the party in default to him thereunder.</w:t>
      </w:r>
    </w:p>
    <w:p>
      <w:pPr>
        <w:pStyle w:val="RBBodyText"/>
        <w:rPr/>
      </w:pPr>
      <w:r>
        <w:rPr>
          <w:rFonts w:cs="Arial;helvetica" w:ascii="Arial;helvetica" w:hAnsi="Arial;helvetica"/>
          <w:b/>
          <w:bCs/>
          <w:sz w:val="18"/>
        </w:rPr>
        <w:t>8</w:t>
      </w:r>
      <w:r>
        <w:rPr/>
        <w:tab/>
        <w:t>This Agreement shall be referred to as the Master Agreement.</w:t>
      </w:r>
    </w:p>
    <w:p>
      <w:pPr>
        <w:pStyle w:val="RBBodyText"/>
        <w:ind w:hanging="709" w:start="709" w:end="0"/>
        <w:rPr/>
      </w:pPr>
      <w:r>
        <w:rPr>
          <w:rFonts w:cs="Arial;helvetica" w:ascii="Arial;helvetica" w:hAnsi="Arial;helvetica"/>
          <w:b/>
          <w:bCs/>
          <w:sz w:val="18"/>
        </w:rPr>
        <w:t>9</w:t>
      </w:r>
      <w:r>
        <w:rPr/>
        <w:tab/>
        <w:t>This Agreement shall be governed by and construed in accordance with English law and any dispute arising out of or in connection with this Agreement shall be referred to arbitration in London in accordance with the Arbitration Act 1996 or any statutory modification or re-enactment thereof save to the extent necessary to give effect to the provisions of this Clause.</w:t>
      </w:r>
    </w:p>
    <w:p>
      <w:pPr>
        <w:pStyle w:val="Indent1"/>
        <w:spacing w:before="0" w:after="300"/>
        <w:rPr/>
      </w:pPr>
      <w:r>
        <w:rPr/>
        <w:t>The reference shall be to three arbitrators.  A party wishing to refer a dispute to arbitration shall appoint its arbitrator and send notice of such appointment in writing to the other party requiring the other party to appoint its own arbitrator within 14 calendar days of that notice and stating that it will appoint its arbitrator as sole arbitrator unless the other party appoints its own arbitrator and gives notice that it has done so within the 14 days specified.  If the other party does not appoint its own arbitrator and gives notice that it has done so within the 14 days specified, the party referring a dispute to arbitration may, without the requirement of any further prior notice to the other party, appoint its arbitrator and shall advise the other party accordingly.  The award of a sole arbitrator shall be binding upon both parties as if he had been appointed by agreement.</w:t>
      </w:r>
    </w:p>
    <w:sectPr>
      <w:type w:val="continuous"/>
      <w:pgSz w:w="11906" w:h="16838"/>
      <w:pgMar w:left="1418" w:right="1418" w:gutter="0" w:header="0" w:top="2183" w:footer="539" w:bottom="1531"/>
      <w:formProt w:val="false"/>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w:altName w:val="helvetic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imes New Roman">
    <w:altName w:val="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"FooterRef"</w:instrText>
    </w:r>
    <w:r>
      <w:rPr/>
      <w:fldChar w:fldCharType="separate"/>
    </w:r>
    <w:r>
      <w:rPr/>
      <w:t>01-29833\</w:t>
    </w:r>
    <w:r>
      <w:rPr/>
      <w:fldChar w:fldCharType="end"/>
    </w:r>
    <w:r>
      <w:rPr/>
      <w:t>agreement (4) 10925</w:t>
    </w:r>
  </w:p>
  <w:p>
    <w:pPr>
      <w:pStyle w:val="FooterLine2"/>
      <w:rPr/>
    </w:pPr>
    <w:r>
      <w:rPr/>
      <w:t xml:space="preserve">page </w:t>
    </w:r>
    <w:r>
      <w:rPr/>
      <w:fldChar w:fldCharType="begin"/>
    </w:r>
    <w:r>
      <w:rPr/>
      <w:instrText xml:space="preserve"> PAGE </w:instrText>
    </w:r>
    <w:r>
      <w:rPr/>
      <w:fldChar w:fldCharType="separate"/>
    </w:r>
    <w:r>
      <w:rPr/>
      <w:t>6</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9"/>
      </w:pPr>
      <w:rPr>
        <w:sz w:val="18"/>
        <w:i w:val="false"/>
        <w:b/>
        <w:rFonts w:ascii="Arial;helvetica" w:hAnsi="Arial;helvetica" w:cs="Arial;helvetica"/>
      </w:rPr>
    </w:lvl>
    <w:lvl w:ilvl="1">
      <w:start w:val="1"/>
      <w:pStyle w:val="Heading2"/>
      <w:numFmt w:val="lowerLetter"/>
      <w:lvlText w:val="(%2)"/>
      <w:lvlJc w:val="start"/>
      <w:pPr>
        <w:tabs>
          <w:tab w:val="num" w:pos="709"/>
        </w:tabs>
        <w:ind w:start="1418" w:hanging="709"/>
      </w:pPr>
      <w:rPr>
        <w:sz w:val="25"/>
        <w:i w:val="false"/>
        <w:b/>
        <w:rFonts w:ascii="Garamond" w:hAnsi="Garamond" w:cs="Garamond"/>
      </w:rPr>
    </w:lvl>
    <w:lvl w:ilvl="2">
      <w:start w:val="1"/>
      <w:pStyle w:val="Heading3"/>
      <w:numFmt w:val="lowerRoman"/>
      <w:lvlText w:val="(%3)"/>
      <w:lvlJc w:val="start"/>
      <w:pPr>
        <w:tabs>
          <w:tab w:val="num" w:pos="709"/>
        </w:tabs>
        <w:ind w:start="2127" w:hanging="709"/>
      </w:pPr>
      <w:rPr>
        <w:sz w:val="25"/>
        <w:i w:val="false"/>
        <w:b/>
        <w:rFonts w:ascii="Garamond" w:hAnsi="Garamond" w:cs="Garamond"/>
      </w:rPr>
    </w:lvl>
    <w:lvl w:ilvl="3">
      <w:start w:val="1"/>
      <w:pStyle w:val="Heading4"/>
      <w:numFmt w:val="none"/>
      <w:suff w:val="nothing"/>
      <w:lvlText w:val=""/>
      <w:lvlJc w:val="start"/>
      <w:pPr>
        <w:tabs>
          <w:tab w:val="num" w:pos="0"/>
        </w:tabs>
        <w:ind w:start="0" w:hanging="0"/>
      </w:pPr>
      <w:rPr>
        <w:sz w:val="24"/>
        <w:i w:val="false"/>
        <w:b w:val="false"/>
        <w:rFonts w:ascii="Garamond" w:hAnsi="Garamond" w:cs="Garamond"/>
      </w:rPr>
    </w:lvl>
    <w:lvl w:ilvl="4">
      <w:start w:val="1"/>
      <w:pStyle w:val="Heading5"/>
      <w:numFmt w:val="none"/>
      <w:suff w:val="nothing"/>
      <w:lvlText w:val=""/>
      <w:lvlJc w:val="start"/>
      <w:pPr>
        <w:tabs>
          <w:tab w:val="num" w:pos="0"/>
        </w:tabs>
        <w:ind w:start="0" w:hanging="0"/>
      </w:pPr>
      <w:rPr>
        <w:sz w:val="24"/>
        <w:i w:val="false"/>
        <w:b w:val="false"/>
        <w:rFonts w:ascii="Garamond" w:hAnsi="Garamond" w:cs="Garamond"/>
      </w:r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rPr>
        <w:sz w:val="24"/>
        <w:i w:val="false"/>
        <w:b w:val="false"/>
        <w:rFonts w:ascii="Garamond" w:hAnsi="Garamond" w:cs="Garamond"/>
      </w:r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rPr>
        <w:sz w:val="24"/>
        <w:i w:val="false"/>
        <w:b w:val="false"/>
      </w:rPr>
    </w:lvl>
  </w:abstractNum>
  <w:abstractNum w:abstractNumId="2">
    <w:lvl w:ilvl="0">
      <w:start w:val="1"/>
      <w:numFmt w:val="bullet"/>
      <w:lvlText w:val=""/>
      <w:lvlJc w:val="start"/>
      <w:pPr>
        <w:tabs>
          <w:tab w:val="num" w:pos="709"/>
        </w:tabs>
        <w:ind w:start="709" w:hanging="709"/>
      </w:pPr>
      <w:rPr>
        <w:rFonts w:ascii="Symbol" w:hAnsi="Symbol" w:cs="Symbol" w:hint="default"/>
      </w:rPr>
    </w:lvl>
  </w:abstractNum>
  <w:abstractNum w:abstractNumId="3">
    <w:lvl w:ilvl="0">
      <w:start w:val="1"/>
      <w:numFmt w:val="bullet"/>
      <w:lvlText w:val=""/>
      <w:lvlJc w:val="start"/>
      <w:pPr>
        <w:tabs>
          <w:tab w:val="num" w:pos="1418"/>
        </w:tabs>
        <w:ind w:start="1418" w:hanging="709"/>
      </w:pPr>
      <w:rPr>
        <w:rFonts w:ascii="Symbol" w:hAnsi="Symbol" w:cs="Symbol" w:hint="default"/>
      </w:rPr>
    </w:lvl>
  </w:abstractNum>
  <w:abstractNum w:abstractNumId="4">
    <w:lvl w:ilvl="0">
      <w:start w:val="1"/>
      <w:numFmt w:val="bullet"/>
      <w:lvlText w:val=""/>
      <w:lvlJc w:val="start"/>
      <w:pPr>
        <w:tabs>
          <w:tab w:val="num" w:pos="2126"/>
        </w:tabs>
        <w:ind w:start="2126" w:hanging="708"/>
      </w:pPr>
      <w:rPr>
        <w:rFonts w:ascii="Symbol" w:hAnsi="Symbol" w:cs="Symbol" w:hint="default"/>
      </w:rPr>
    </w:lvl>
  </w:abstractNum>
  <w:num w:numId="1">
    <w:abstractNumId w:val="1"/>
  </w:num>
  <w:num w:numId="2">
    <w:abstractNumId w:val="2"/>
  </w:num>
  <w:num w:numId="3">
    <w:abstractNumId w:val="3"/>
  </w:num>
  <w:num w:numId="4">
    <w:abstractNumId w:val="4"/>
  </w:num>
  <w:num w:numId="5">
    <w:abstractNumId w:val="1"/>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jc w:val="both"/>
      <w:textAlignment w:val="baseline"/>
    </w:pPr>
    <w:rPr>
      <w:rFonts w:ascii="Garamond" w:hAnsi="Garamond" w:eastAsia="Times New Roman;Times" w:cs="Garamond"/>
      <w:color w:val="auto"/>
      <w:sz w:val="23"/>
      <w:szCs w:val="20"/>
      <w:lang w:val="en-GB" w:bidi="ar-SA" w:eastAsia="zh-CN"/>
    </w:rPr>
  </w:style>
  <w:style w:type="paragraph" w:styleId="Heading1">
    <w:name w:val="heading 1"/>
    <w:basedOn w:val="RBBodyText"/>
    <w:next w:val="BodyText"/>
    <w:qFormat/>
    <w:pPr>
      <w:numPr>
        <w:ilvl w:val="0"/>
        <w:numId w:val="1"/>
      </w:numPr>
      <w:outlineLvl w:val="0"/>
    </w:pPr>
    <w:rPr/>
  </w:style>
  <w:style w:type="paragraph" w:styleId="Heading2">
    <w:name w:val="heading 2"/>
    <w:basedOn w:val="RBBodyText"/>
    <w:next w:val="BodyText"/>
    <w:qFormat/>
    <w:pPr>
      <w:numPr>
        <w:ilvl w:val="1"/>
        <w:numId w:val="1"/>
      </w:numPr>
      <w:outlineLvl w:val="1"/>
    </w:pPr>
    <w:rPr/>
  </w:style>
  <w:style w:type="paragraph" w:styleId="Heading3">
    <w:name w:val="heading 3"/>
    <w:basedOn w:val="RBBodyText"/>
    <w:next w:val="BodyText"/>
    <w:qFormat/>
    <w:pPr>
      <w:numPr>
        <w:ilvl w:val="2"/>
        <w:numId w:val="1"/>
      </w:numPr>
      <w:outlineLvl w:val="2"/>
    </w:pPr>
    <w:rPr/>
  </w:style>
  <w:style w:type="paragraph" w:styleId="Heading4">
    <w:name w:val="heading 4"/>
    <w:basedOn w:val="Normal"/>
    <w:next w:val="Normal"/>
    <w:qFormat/>
    <w:pPr>
      <w:numPr>
        <w:ilvl w:val="3"/>
        <w:numId w:val="1"/>
      </w:numPr>
      <w:spacing w:lineRule="auto" w:line="360" w:before="0" w:after="240"/>
      <w:outlineLvl w:val="3"/>
    </w:pPr>
    <w:rPr/>
  </w:style>
  <w:style w:type="paragraph" w:styleId="Heading5">
    <w:name w:val="heading 5"/>
    <w:basedOn w:val="Normal"/>
    <w:next w:val="BodyText"/>
    <w:qFormat/>
    <w:pPr>
      <w:numPr>
        <w:ilvl w:val="4"/>
        <w:numId w:val="1"/>
      </w:numPr>
      <w:spacing w:lineRule="auto" w:line="360" w:before="0" w:after="240"/>
      <w:outlineLvl w:val="4"/>
    </w:pPr>
    <w:rPr/>
  </w:style>
  <w:style w:type="paragraph" w:styleId="Heading6">
    <w:name w:val="heading 6"/>
    <w:basedOn w:val="Normal"/>
    <w:next w:val="BodyText"/>
    <w:qFormat/>
    <w:pPr>
      <w:numPr>
        <w:ilvl w:val="5"/>
        <w:numId w:val="1"/>
      </w:numPr>
      <w:spacing w:lineRule="auto" w:line="360" w:before="0" w:after="240"/>
      <w:outlineLvl w:val="5"/>
    </w:pPr>
    <w:rPr/>
  </w:style>
  <w:style w:type="paragraph" w:styleId="Heading7">
    <w:name w:val="heading 7"/>
    <w:basedOn w:val="Normal"/>
    <w:next w:val="BodyText"/>
    <w:qFormat/>
    <w:pPr>
      <w:numPr>
        <w:ilvl w:val="6"/>
        <w:numId w:val="1"/>
      </w:numPr>
      <w:spacing w:lineRule="auto" w:line="360" w:before="0" w:after="240"/>
      <w:outlineLvl w:val="6"/>
    </w:pPr>
    <w:rPr/>
  </w:style>
  <w:style w:type="paragraph" w:styleId="Heading8">
    <w:name w:val="heading 8"/>
    <w:basedOn w:val="Normal"/>
    <w:next w:val="BodyText"/>
    <w:qFormat/>
    <w:pPr>
      <w:numPr>
        <w:ilvl w:val="7"/>
        <w:numId w:val="1"/>
      </w:numPr>
      <w:spacing w:lineRule="auto" w:line="360" w:before="0" w:after="240"/>
      <w:outlineLvl w:val="7"/>
    </w:pPr>
    <w:rPr/>
  </w:style>
  <w:style w:type="paragraph" w:styleId="Heading9">
    <w:name w:val="heading 9"/>
    <w:basedOn w:val="Normal"/>
    <w:next w:val="BodyText"/>
    <w:qFormat/>
    <w:pPr>
      <w:numPr>
        <w:ilvl w:val="8"/>
        <w:numId w:val="1"/>
      </w:numPr>
      <w:spacing w:lineRule="auto" w:line="360" w:before="0" w:after="240"/>
      <w:outlineLvl w:val="8"/>
    </w:pPr>
    <w:rPr/>
  </w:style>
  <w:style w:type="character" w:styleId="WW8Num1z0">
    <w:name w:val="WW8Num1z0"/>
    <w:qFormat/>
    <w:rPr>
      <w:rFonts w:ascii="Arial;helvetica" w:hAnsi="Arial;helvetica" w:cs="Arial;helvetica"/>
      <w:b/>
      <w:i w:val="false"/>
      <w:sz w:val="18"/>
    </w:rPr>
  </w:style>
  <w:style w:type="character" w:styleId="WW8Num1z1">
    <w:name w:val="WW8Num1z1"/>
    <w:qFormat/>
    <w:rPr>
      <w:rFonts w:ascii="Garamond" w:hAnsi="Garamond" w:cs="Garamond"/>
      <w:b/>
      <w:i w:val="false"/>
      <w:sz w:val="25"/>
    </w:rPr>
  </w:style>
  <w:style w:type="character" w:styleId="WW8Num1z3">
    <w:name w:val="WW8Num1z3"/>
    <w:qFormat/>
    <w:rPr>
      <w:rFonts w:ascii="Garamond" w:hAnsi="Garamond" w:cs="Garamond"/>
      <w:b w:val="false"/>
      <w:i w:val="false"/>
      <w:sz w:val="24"/>
    </w:rPr>
  </w:style>
  <w:style w:type="character" w:styleId="WW8Num1z8">
    <w:name w:val="WW8Num1z8"/>
    <w:qFormat/>
    <w:rPr>
      <w:b w:val="false"/>
      <w:i w:val="false"/>
      <w:sz w:val="24"/>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St2z0">
    <w:name w:val="WW8NumSt2z0"/>
    <w:qFormat/>
    <w:rPr>
      <w:rFonts w:ascii="Times" w:hAnsi="Times" w:cs="Times"/>
    </w:rPr>
  </w:style>
  <w:style w:type="character" w:styleId="WW8NumSt3z0">
    <w:name w:val="WW8NumSt3z0"/>
    <w:qFormat/>
    <w:rPr>
      <w:rFonts w:ascii="Symbol" w:hAnsi="Symbol" w:cs="Symbol"/>
    </w:rPr>
  </w:style>
  <w:style w:type="character" w:styleId="WW8NumSt4z0">
    <w:name w:val="WW8NumSt4z0"/>
    <w:qFormat/>
    <w:rPr>
      <w:rFonts w:ascii="Courier New" w:hAnsi="Courier New" w:cs="Courier New"/>
    </w:rPr>
  </w:style>
  <w:style w:type="character" w:styleId="DefaultParagraphFont">
    <w:name w:val="Default Paragraph Font"/>
    <w:qFormat/>
    <w:rPr/>
  </w:style>
  <w:style w:type="character" w:styleId="GaraBold">
    <w:name w:val="Gara Bold"/>
    <w:basedOn w:val="DefaultParagraphFont"/>
    <w:qFormat/>
    <w:rPr>
      <w:rFonts w:ascii="Garamond" w:hAnsi="Garamond" w:cs="Garamond"/>
      <w:b/>
      <w:caps/>
      <w:spacing w:val="0"/>
      <w:kern w:val="0"/>
      <w:position w:val="0"/>
      <w:sz w:val="20"/>
      <w:sz w:val="20"/>
      <w:vertAlign w:val="baseline"/>
    </w:rPr>
  </w:style>
  <w:style w:type="character" w:styleId="GillBold">
    <w:name w:val="Gill Bold"/>
    <w:basedOn w:val="DefaultParagraphFont"/>
    <w:qFormat/>
    <w:rPr>
      <w:rFonts w:ascii="Arial;helvetica" w:hAnsi="Arial;helvetica" w:cs="Arial;helvetica"/>
      <w:b/>
      <w:caps/>
      <w:spacing w:val="30"/>
      <w:sz w:val="18"/>
    </w:rPr>
  </w:style>
  <w:style w:type="character" w:styleId="CommentReference">
    <w:name w:val="Comment Reference"/>
    <w:basedOn w:val="DefaultParagraphFont"/>
    <w:qFormat/>
    <w:rPr>
      <w:rFonts w:ascii="Garamond" w:hAnsi="Garamond" w:cs="Garamond"/>
      <w:sz w:val="16"/>
    </w:rPr>
  </w:style>
  <w:style w:type="character" w:styleId="EndnoteCharacters">
    <w:name w:val="Endnote Characters"/>
    <w:basedOn w:val="DefaultParagraphFont"/>
    <w:qFormat/>
    <w:rPr>
      <w:rFonts w:ascii="Garamond" w:hAnsi="Garamond" w:cs="Garamond"/>
      <w:vertAlign w:val="superscript"/>
    </w:rPr>
  </w:style>
  <w:style w:type="character" w:styleId="FootnoteCharacters">
    <w:name w:val="Footnote Characters"/>
    <w:basedOn w:val="DefaultParagraphFont"/>
    <w:qFormat/>
    <w:rPr>
      <w:rFonts w:ascii="Garamond" w:hAnsi="Garamond" w:cs="Garamond"/>
      <w:vertAlign w:val="superscript"/>
    </w:rPr>
  </w:style>
  <w:style w:type="character" w:styleId="LineNumber">
    <w:name w:val="line number"/>
    <w:basedOn w:val="DefaultParagraphFont"/>
    <w:rPr>
      <w:rFonts w:ascii="Garamond" w:hAnsi="Garamond" w:cs="Garamo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BBodyText">
    <w:name w:val="RB Body Text"/>
    <w:basedOn w:val="Normal"/>
    <w:qFormat/>
    <w:pPr>
      <w:spacing w:lineRule="auto" w:line="360" w:before="0" w:after="300"/>
    </w:pPr>
    <w:rPr>
      <w:sz w:val="25"/>
    </w:rPr>
  </w:style>
  <w:style w:type="paragraph" w:styleId="zDraft">
    <w:name w:val="z_Draft"/>
    <w:basedOn w:val="RBBodyText"/>
    <w:qFormat/>
    <w:pPr>
      <w:spacing w:before="240" w:after="240"/>
      <w:jc w:val="start"/>
    </w:pPr>
    <w:rPr>
      <w:rFonts w:ascii="Arial;helvetica" w:hAnsi="Arial;helvetica" w:cs="Arial;helvetica"/>
      <w:b/>
      <w:caps/>
      <w:spacing w:val="35"/>
      <w:sz w:val="24"/>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RBBodyText"/>
    <w:pPr>
      <w:tabs>
        <w:tab w:val="clear" w:pos="709"/>
        <w:tab w:val="right" w:pos="9072" w:leader="none"/>
      </w:tabs>
    </w:pPr>
    <w:rPr/>
  </w:style>
  <w:style w:type="paragraph" w:styleId="Footer">
    <w:name w:val="footer"/>
    <w:basedOn w:val="RBBodyText"/>
    <w:next w:val="FooterLine2"/>
    <w:pPr>
      <w:tabs>
        <w:tab w:val="clear" w:pos="709"/>
        <w:tab w:val="right" w:pos="9072" w:leader="none"/>
      </w:tabs>
      <w:spacing w:before="0" w:after="0"/>
      <w:jc w:val="start"/>
    </w:pPr>
    <w:rPr>
      <w:sz w:val="14"/>
      <w:lang w:val="en-CA" w:eastAsia="en-CA"/>
    </w:rPr>
  </w:style>
  <w:style w:type="paragraph" w:styleId="Bullet1">
    <w:name w:val="Bullet 1"/>
    <w:basedOn w:val="RBBodyText"/>
    <w:qFormat/>
    <w:pPr>
      <w:numPr>
        <w:ilvl w:val="0"/>
        <w:numId w:val="2"/>
      </w:numPr>
    </w:pPr>
    <w:rPr/>
  </w:style>
  <w:style w:type="paragraph" w:styleId="Bullet2">
    <w:name w:val="Bullet 2"/>
    <w:basedOn w:val="RBBodyText"/>
    <w:qFormat/>
    <w:pPr>
      <w:numPr>
        <w:ilvl w:val="0"/>
        <w:numId w:val="3"/>
      </w:numPr>
    </w:pPr>
    <w:rPr/>
  </w:style>
  <w:style w:type="paragraph" w:styleId="CentreHeading">
    <w:name w:val="Centre Heading"/>
    <w:basedOn w:val="RBBodyText"/>
    <w:next w:val="RBBodyText"/>
    <w:qFormat/>
    <w:pPr>
      <w:keepNext w:val="true"/>
      <w:keepLines/>
      <w:spacing w:before="0" w:after="360"/>
      <w:jc w:val="center"/>
    </w:pPr>
    <w:rPr>
      <w:rFonts w:ascii="Arial;helvetica" w:hAnsi="Arial;helvetica" w:cs="Arial;helvetica"/>
      <w:b/>
      <w:caps/>
      <w:spacing w:val="30"/>
      <w:sz w:val="22"/>
    </w:rPr>
  </w:style>
  <w:style w:type="paragraph" w:styleId="DirectQuote">
    <w:name w:val="Direct Quote"/>
    <w:basedOn w:val="RBBodyText"/>
    <w:qFormat/>
    <w:pPr>
      <w:ind w:hanging="0" w:start="709" w:end="709"/>
    </w:pPr>
    <w:rPr>
      <w:i/>
    </w:rPr>
  </w:style>
  <w:style w:type="paragraph" w:styleId="Indent1">
    <w:name w:val="Indent 1"/>
    <w:basedOn w:val="RBBodyText"/>
    <w:qFormat/>
    <w:pPr>
      <w:ind w:hanging="0" w:start="709" w:end="0"/>
    </w:pPr>
    <w:rPr/>
  </w:style>
  <w:style w:type="paragraph" w:styleId="Indent2">
    <w:name w:val="Indent 2"/>
    <w:basedOn w:val="RBBodyText"/>
    <w:qFormat/>
    <w:pPr>
      <w:ind w:hanging="0" w:start="1418" w:end="0"/>
    </w:pPr>
    <w:rPr/>
  </w:style>
  <w:style w:type="paragraph" w:styleId="Indent3">
    <w:name w:val="Indent 3"/>
    <w:basedOn w:val="RBBodyText"/>
    <w:qFormat/>
    <w:pPr>
      <w:ind w:hanging="0" w:start="2126" w:end="0"/>
    </w:pPr>
    <w:rPr/>
  </w:style>
  <w:style w:type="paragraph" w:styleId="IndentHeading">
    <w:name w:val="Indent Heading"/>
    <w:basedOn w:val="RBBodyText"/>
    <w:next w:val="Indent1"/>
    <w:qFormat/>
    <w:pPr>
      <w:keepNext w:val="true"/>
      <w:keepLines/>
      <w:ind w:hanging="0" w:start="709" w:end="0"/>
      <w:jc w:val="start"/>
    </w:pPr>
    <w:rPr>
      <w:rFonts w:ascii="Arial;helvetica" w:hAnsi="Arial;helvetica" w:cs="Arial;helvetica"/>
      <w:b/>
      <w:caps/>
      <w:spacing w:val="30"/>
      <w:sz w:val="18"/>
    </w:rPr>
  </w:style>
  <w:style w:type="paragraph" w:styleId="LeftHeading">
    <w:name w:val="Left Heading"/>
    <w:basedOn w:val="RBBodyText"/>
    <w:next w:val="RBBodyText"/>
    <w:qFormat/>
    <w:pPr>
      <w:keepNext w:val="true"/>
      <w:keepLines/>
      <w:jc w:val="start"/>
    </w:pPr>
    <w:rPr>
      <w:rFonts w:ascii="Arial;helvetica" w:hAnsi="Arial;helvetica" w:cs="Arial;helvetica"/>
      <w:b/>
      <w:caps/>
      <w:spacing w:val="30"/>
      <w:sz w:val="18"/>
    </w:rPr>
  </w:style>
  <w:style w:type="paragraph" w:styleId="RBSingleIndent">
    <w:name w:val="RB Single Indent"/>
    <w:basedOn w:val="RBBodyText"/>
    <w:qFormat/>
    <w:pPr>
      <w:spacing w:lineRule="auto" w:line="240" w:before="0" w:after="0"/>
      <w:ind w:hanging="0" w:start="709" w:end="0"/>
    </w:pPr>
    <w:rPr/>
  </w:style>
  <w:style w:type="paragraph" w:styleId="RBSingleText">
    <w:name w:val="RB Single Text"/>
    <w:basedOn w:val="RBBodyText"/>
    <w:qFormat/>
    <w:pPr>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RBBodyText"/>
    <w:qFormat/>
    <w:pPr>
      <w:keepNext w:val="true"/>
      <w:keepLines/>
      <w:spacing w:lineRule="auto" w:line="240" w:before="120" w:after="120"/>
      <w:jc w:val="start"/>
    </w:pPr>
    <w:rPr>
      <w:rFonts w:ascii="Arial;helvetica" w:hAnsi="Arial;helvetica" w:cs="Arial;helvetica"/>
      <w:b/>
      <w:caps/>
      <w:spacing w:val="30"/>
      <w:sz w:val="18"/>
    </w:rPr>
  </w:style>
  <w:style w:type="paragraph" w:styleId="TableText">
    <w:name w:val="Table Text"/>
    <w:basedOn w:val="RBBodyText"/>
    <w:qFormat/>
    <w:pPr/>
    <w:rPr/>
  </w:style>
  <w:style w:type="paragraph" w:styleId="TableSingle">
    <w:name w:val="Table Single"/>
    <w:basedOn w:val="TableText"/>
    <w:qFormat/>
    <w:pPr>
      <w:spacing w:lineRule="auto" w:line="240" w:before="0" w:after="0"/>
    </w:pPr>
    <w:rPr/>
  </w:style>
  <w:style w:type="paragraph" w:styleId="TableSingleIndent">
    <w:name w:val="Table Single Indent"/>
    <w:basedOn w:val="TableText"/>
    <w:qFormat/>
    <w:pPr>
      <w:spacing w:lineRule="auto" w:line="240" w:before="0" w:after="0"/>
      <w:ind w:hanging="0" w:start="709" w:end="0"/>
    </w:pPr>
    <w:rPr/>
  </w:style>
  <w:style w:type="paragraph" w:styleId="TableTextIndent">
    <w:name w:val="Table Text Indent"/>
    <w:basedOn w:val="TableText"/>
    <w:qFormat/>
    <w:pPr>
      <w:ind w:hanging="0" w:start="709" w:end="0"/>
    </w:pPr>
    <w:rPr/>
  </w:style>
  <w:style w:type="paragraph" w:styleId="Bullet3">
    <w:name w:val="Bullet 3"/>
    <w:basedOn w:val="RBBodyText"/>
    <w:qFormat/>
    <w:pPr>
      <w:numPr>
        <w:ilvl w:val="0"/>
        <w:numId w:val="4"/>
      </w:numPr>
    </w:pPr>
    <w:rPr/>
  </w:style>
  <w:style w:type="paragraph" w:styleId="FooterLine2">
    <w:name w:val="Footer Line 2"/>
    <w:basedOn w:val="RBBodyText"/>
    <w:qFormat/>
    <w:pPr>
      <w:spacing w:lineRule="auto" w:line="240" w:before="60" w:after="0"/>
      <w:jc w:val="center"/>
    </w:pPr>
    <w:rPr>
      <w:rFonts w:ascii="Arial;helvetica" w:hAnsi="Arial;helvetica" w:cs="Arial;helvetica"/>
      <w:b/>
      <w:caps/>
      <w:spacing w:val="30"/>
      <w:sz w:val="18"/>
      <w:lang w:val="en-CA" w:eastAsia="en-CA"/>
    </w:rPr>
  </w:style>
  <w:style w:type="paragraph" w:styleId="BodyTextIndent">
    <w:name w:val="Body Text Indent"/>
    <w:basedOn w:val="Normal"/>
    <w:pPr>
      <w:tabs>
        <w:tab w:val="clear" w:pos="709"/>
        <w:tab w:val="left" w:pos="0" w:leader="none"/>
        <w:tab w:val="left" w:pos="850" w:leader="none"/>
        <w:tab w:val="left" w:pos="1701" w:leader="none"/>
        <w:tab w:val="left" w:pos="2552" w:leader="none"/>
        <w:tab w:val="left" w:pos="3403" w:leader="none"/>
        <w:tab w:val="left" w:pos="4254" w:leader="none"/>
        <w:tab w:val="left" w:pos="5106" w:leader="none"/>
        <w:tab w:val="left" w:pos="5956" w:leader="none"/>
        <w:tab w:val="left" w:pos="6807" w:leader="none"/>
        <w:tab w:val="left" w:pos="7658" w:leader="none"/>
        <w:tab w:val="left" w:pos="8509" w:leader="none"/>
        <w:tab w:val="left" w:pos="8640" w:leader="none"/>
      </w:tabs>
      <w:suppressAutoHyphens w:val="true"/>
      <w:overflowPunct w:val="true"/>
      <w:autoSpaceDE w:val="true"/>
      <w:spacing w:before="0" w:after="240"/>
      <w:ind w:hanging="850" w:start="850" w:end="0"/>
      <w:textAlignment w:val="auto"/>
    </w:pPr>
    <w:rPr>
      <w:rFonts w:ascii="Times New Roman;Times" w:hAnsi="Times New Roman;Times" w:cs="Times New Roman;Times"/>
      <w:spacing w:val="-2"/>
      <w:sz w:val="22"/>
    </w:rPr>
  </w:style>
  <w:style w:type="paragraph" w:styleId="zFooterAddress">
    <w:name w:val="z_Footer Address"/>
    <w:basedOn w:val="RBSingleText"/>
    <w:qFormat/>
    <w:pPr>
      <w:jc w:val="center"/>
    </w:pPr>
    <w:rPr>
      <w:sz w:val="20"/>
      <w:lang w:val="en-CA" w:eastAsia="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 3 num (1.5 spacing).dot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2001-09-25T15:09:00Z</dcterms:created>
  <dc:creator>Richards Butler</dc:creator>
  <dc:description>4 August 97- new styles, macros and toolbar.  This template and the 3 num single spacing template replaces 3 level auto.</dc:description>
  <dc:language>en-CA</dc:language>
  <cp:lastModifiedBy>ibrungs</cp:lastModifiedBy>
  <cp:lastPrinted>2001-09-25T15:32:00Z</cp:lastPrinted>
  <dcterms:modified xsi:type="dcterms:W3CDTF">2001-09-25T15:17:00Z</dcterms:modified>
  <cp:revision>3</cp:revision>
  <dc:subject/>
  <dc:title>Plain 3 num (1.5 spacing)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Format">
    <vt:lpwstr>Draft</vt:lpwstr>
  </property>
  <property fmtid="{D5CDD505-2E9C-101B-9397-08002B2CF9AE}" pid="3" name="FooterRef">
    <vt:lpwstr>01-29833\</vt:lpwstr>
  </property>
</Properties>
</file>