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Alan Aronowitz, Mark Haedicke, Jeff Hodge and Mark Taylor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Chris Gaffney, Greg Johnston &amp; Peter Keohane</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Powell</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Suggested Amendments to the Enron Canada Corp. Master Firm Gas Purchase/Sale Agreement (the "Physical Master")</w:t>
            </w:r>
          </w:p>
          <w:p>
            <w:pPr>
              <w:pStyle w:val="Subject"/>
              <w:rPr/>
            </w:pPr>
            <w:r>
              <w:rPr/>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October 24, 2000</w:t>
            </w:r>
          </w:p>
        </w:tc>
      </w:tr>
    </w:tbl>
    <w:p>
      <w:pPr>
        <w:pStyle w:val="Normal"/>
        <w:spacing w:lineRule="atLeast" w:line="240"/>
        <w:rPr>
          <w:rFonts w:ascii="Helv" w:hAnsi="Helv" w:cs="Helv"/>
          <w:color w:val="000000"/>
          <w:lang w:eastAsia="en-US"/>
        </w:rPr>
      </w:pPr>
      <w:r>
        <w:rPr>
          <w:rFonts w:cs="Helv" w:ascii="Helv" w:hAnsi="Helv"/>
          <w:color w:val="000000"/>
          <w:lang w:eastAsia="en-US"/>
        </w:rPr>
      </w:r>
      <w:bookmarkStart w:id="1" w:name="StartOfMemo"/>
      <w:bookmarkStart w:id="2" w:name="StartOfMemo"/>
      <w:bookmarkEnd w:id="2"/>
    </w:p>
    <w:p>
      <w:pPr>
        <w:pStyle w:val="Normal"/>
        <w:spacing w:lineRule="atLeast" w:line="240"/>
        <w:rPr>
          <w:rFonts w:ascii="Helv" w:hAnsi="Helv" w:cs="Helv"/>
          <w:color w:val="000000"/>
          <w:sz w:val="22"/>
          <w:lang w:eastAsia="en-US"/>
        </w:rPr>
      </w:pPr>
      <w:r>
        <w:rPr>
          <w:rFonts w:cs="Helv" w:ascii="Helv" w:hAnsi="Helv"/>
          <w:color w:val="000000"/>
          <w:sz w:val="22"/>
          <w:lang w:eastAsia="en-US"/>
        </w:rPr>
      </w:r>
    </w:p>
    <w:p>
      <w:pPr>
        <w:pStyle w:val="Normal"/>
        <w:spacing w:lineRule="atLeast" w:line="240"/>
        <w:rPr>
          <w:color w:val="000000"/>
          <w:sz w:val="20"/>
          <w:lang w:eastAsia="en-US"/>
        </w:rPr>
      </w:pPr>
      <w:r>
        <w:rPr>
          <w:color w:val="000000"/>
          <w:sz w:val="20"/>
          <w:lang w:eastAsia="en-US"/>
        </w:rPr>
        <w:t>In light of the recent acquisition by NGX of the "calculation rights" for the "AECO Index", I have prepared amendments to the Physical Master.  More specifically, I have amended:</w:t>
      </w:r>
    </w:p>
    <w:p>
      <w:pPr>
        <w:pStyle w:val="Normal"/>
        <w:spacing w:lineRule="atLeast" w:line="240"/>
        <w:rPr>
          <w:color w:val="000000"/>
          <w:sz w:val="20"/>
          <w:lang w:eastAsia="en-US"/>
        </w:rPr>
      </w:pPr>
      <w:r>
        <w:rPr>
          <w:color w:val="000000"/>
          <w:sz w:val="20"/>
          <w:lang w:eastAsia="en-US"/>
        </w:rPr>
      </w:r>
    </w:p>
    <w:p>
      <w:pPr>
        <w:pStyle w:val="Normal"/>
        <w:numPr>
          <w:ilvl w:val="0"/>
          <w:numId w:val="5"/>
        </w:numPr>
        <w:spacing w:lineRule="atLeast" w:line="240"/>
        <w:rPr>
          <w:color w:val="000000"/>
          <w:sz w:val="20"/>
          <w:lang w:eastAsia="en-US"/>
        </w:rPr>
      </w:pPr>
      <w:r>
        <w:rPr>
          <w:color w:val="000000"/>
          <w:sz w:val="20"/>
          <w:lang w:eastAsia="en-US"/>
        </w:rPr>
        <w:t>the definition of "AECO Day Price" as contained in section 1.1;</w:t>
      </w:r>
    </w:p>
    <w:p>
      <w:pPr>
        <w:pStyle w:val="Normal"/>
        <w:tabs>
          <w:tab w:val="clear" w:pos="540"/>
        </w:tabs>
        <w:spacing w:lineRule="atLeast" w:line="240"/>
        <w:rPr>
          <w:color w:val="000000"/>
          <w:sz w:val="20"/>
          <w:lang w:eastAsia="en-US"/>
        </w:rPr>
      </w:pPr>
      <w:r>
        <w:rPr>
          <w:color w:val="000000"/>
          <w:sz w:val="20"/>
          <w:lang w:eastAsia="en-US"/>
        </w:rPr>
      </w:r>
    </w:p>
    <w:p>
      <w:pPr>
        <w:pStyle w:val="Normal"/>
        <w:numPr>
          <w:ilvl w:val="0"/>
          <w:numId w:val="5"/>
        </w:numPr>
        <w:spacing w:lineRule="atLeast" w:line="240"/>
        <w:rPr>
          <w:color w:val="000000"/>
          <w:sz w:val="20"/>
          <w:lang w:eastAsia="en-US"/>
        </w:rPr>
      </w:pPr>
      <w:r>
        <w:rPr>
          <w:color w:val="000000"/>
          <w:sz w:val="20"/>
          <w:lang w:eastAsia="en-US"/>
        </w:rPr>
        <w:t>the definition of "AECO Index" as contained in section 1.1; and</w:t>
      </w:r>
    </w:p>
    <w:p>
      <w:pPr>
        <w:pStyle w:val="Normal"/>
        <w:tabs>
          <w:tab w:val="clear" w:pos="540"/>
        </w:tabs>
        <w:spacing w:lineRule="atLeast" w:line="240"/>
        <w:rPr>
          <w:color w:val="000000"/>
          <w:sz w:val="20"/>
          <w:lang w:eastAsia="en-US"/>
        </w:rPr>
      </w:pPr>
      <w:r>
        <w:rPr>
          <w:color w:val="000000"/>
          <w:sz w:val="20"/>
          <w:lang w:eastAsia="en-US"/>
        </w:rPr>
      </w:r>
    </w:p>
    <w:p>
      <w:pPr>
        <w:pStyle w:val="Normal"/>
        <w:numPr>
          <w:ilvl w:val="0"/>
          <w:numId w:val="5"/>
        </w:numPr>
        <w:spacing w:lineRule="atLeast" w:line="240"/>
        <w:rPr>
          <w:color w:val="000000"/>
          <w:sz w:val="20"/>
          <w:lang w:eastAsia="en-US"/>
        </w:rPr>
      </w:pPr>
      <w:r>
        <w:rPr>
          <w:color w:val="000000"/>
          <w:sz w:val="20"/>
          <w:lang w:eastAsia="en-US"/>
        </w:rPr>
        <w:t>section 6.5 – Redetermination of a Price Index,</w:t>
      </w:r>
    </w:p>
    <w:p>
      <w:pPr>
        <w:pStyle w:val="Normal"/>
        <w:tabs>
          <w:tab w:val="clear" w:pos="540"/>
        </w:tabs>
        <w:spacing w:lineRule="atLeast" w:line="240"/>
        <w:rPr>
          <w:color w:val="000000"/>
          <w:sz w:val="20"/>
          <w:lang w:eastAsia="en-US"/>
        </w:rPr>
      </w:pPr>
      <w:r>
        <w:rPr>
          <w:color w:val="000000"/>
          <w:sz w:val="20"/>
          <w:lang w:eastAsia="en-US"/>
        </w:rPr>
      </w:r>
    </w:p>
    <w:p>
      <w:pPr>
        <w:pStyle w:val="Normal"/>
        <w:tabs>
          <w:tab w:val="clear" w:pos="540"/>
        </w:tabs>
        <w:spacing w:lineRule="atLeast" w:line="240"/>
        <w:rPr>
          <w:color w:val="000000"/>
          <w:sz w:val="20"/>
          <w:lang w:eastAsia="en-US"/>
        </w:rPr>
      </w:pPr>
      <w:r>
        <w:rPr>
          <w:color w:val="000000"/>
          <w:sz w:val="20"/>
          <w:lang w:eastAsia="en-US"/>
        </w:rPr>
        <w:t>with the intent that the "replacement index" provisions would become operative in the event that there is a change in the method of, or formula for, determining the index.</w:t>
      </w:r>
    </w:p>
    <w:p>
      <w:pPr>
        <w:pStyle w:val="Normal"/>
        <w:spacing w:lineRule="atLeast" w:line="240"/>
        <w:rPr>
          <w:color w:val="000000"/>
          <w:sz w:val="20"/>
          <w:lang w:eastAsia="en-US"/>
        </w:rPr>
      </w:pPr>
      <w:r>
        <w:rPr>
          <w:color w:val="000000"/>
          <w:sz w:val="20"/>
          <w:lang w:eastAsia="en-US"/>
        </w:rPr>
      </w:r>
    </w:p>
    <w:p>
      <w:pPr>
        <w:pStyle w:val="Normal"/>
        <w:spacing w:lineRule="atLeast" w:line="240"/>
        <w:rPr/>
      </w:pPr>
      <w:r>
        <w:rPr>
          <w:color w:val="000000"/>
          <w:sz w:val="20"/>
          <w:lang w:eastAsia="en-US"/>
        </w:rPr>
        <w:t xml:space="preserve">Please note that the proposed amendments will only be of consequence under new Physical Masters if there is another change in the future to the AECO Index.  They do not attempt to deal with the calculation changes recently imposed by NGX.   As noted by Peter Keohane in a recent e-mail to Mark Haedicke, we are fairly limited in our options with respect to existing Physical Masters.  Peter has suggested that we may want to define the index more generically so, for example, if market forces produce a new index published by another party (i.e. Dow Jones), we could at least limit the subset of new Masters that would have to be amended going forward.  However, even if a suitable publication is found, we would still need to amend most the existing Physical Masters as most of the documents define the AECO Index with reference to the Canadian Enerdata Ltd. publication in the </w:t>
      </w:r>
      <w:r>
        <w:rPr>
          <w:i/>
          <w:color w:val="000000"/>
          <w:sz w:val="20"/>
          <w:lang w:eastAsia="en-US"/>
        </w:rPr>
        <w:t>Canadian Gas Price Reporter</w:t>
      </w:r>
      <w:r>
        <w:rPr>
          <w:color w:val="000000"/>
          <w:sz w:val="20"/>
          <w:lang w:eastAsia="en-US"/>
        </w:rPr>
        <w:t>.</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In addition to the above-mentioned amendments and a few nits, I also suggest the following:</w:t>
      </w:r>
    </w:p>
    <w:p>
      <w:pPr>
        <w:pStyle w:val="Normal"/>
        <w:spacing w:lineRule="atLeast" w:line="240"/>
        <w:rPr>
          <w:color w:val="000000"/>
          <w:sz w:val="20"/>
          <w:lang w:eastAsia="en-US"/>
        </w:rPr>
      </w:pPr>
      <w:r>
        <w:rPr>
          <w:color w:val="000000"/>
          <w:sz w:val="20"/>
          <w:lang w:eastAsia="en-US"/>
        </w:rPr>
      </w:r>
    </w:p>
    <w:p>
      <w:pPr>
        <w:pStyle w:val="Normal"/>
        <w:numPr>
          <w:ilvl w:val="0"/>
          <w:numId w:val="7"/>
        </w:numPr>
        <w:spacing w:lineRule="atLeast" w:line="240"/>
        <w:rPr>
          <w:color w:val="000000"/>
          <w:sz w:val="20"/>
          <w:lang w:eastAsia="en-US"/>
        </w:rPr>
      </w:pPr>
      <w:r>
        <w:rPr>
          <w:color w:val="000000"/>
          <w:sz w:val="20"/>
          <w:lang w:eastAsia="en-US"/>
        </w:rPr>
        <w:t>section 6.2 and section 6.4 be amended to:</w:t>
      </w:r>
    </w:p>
    <w:p>
      <w:pPr>
        <w:pStyle w:val="Normal"/>
        <w:tabs>
          <w:tab w:val="clear" w:pos="540"/>
        </w:tabs>
        <w:spacing w:lineRule="atLeast" w:line="240"/>
        <w:rPr>
          <w:color w:val="000000"/>
          <w:sz w:val="20"/>
          <w:lang w:eastAsia="en-US"/>
        </w:rPr>
      </w:pPr>
      <w:r>
        <w:rPr>
          <w:color w:val="000000"/>
          <w:sz w:val="20"/>
          <w:lang w:eastAsia="en-US"/>
        </w:rPr>
      </w:r>
    </w:p>
    <w:p>
      <w:pPr>
        <w:pStyle w:val="Normal"/>
        <w:numPr>
          <w:ilvl w:val="0"/>
          <w:numId w:val="2"/>
        </w:numPr>
        <w:tabs>
          <w:tab w:val="clear" w:pos="540"/>
          <w:tab w:val="left" w:pos="1080" w:leader="none"/>
        </w:tabs>
        <w:spacing w:lineRule="atLeast" w:line="240"/>
        <w:ind w:hanging="360" w:start="1080" w:end="0"/>
        <w:rPr>
          <w:color w:val="000000"/>
          <w:sz w:val="20"/>
          <w:lang w:eastAsia="en-US"/>
        </w:rPr>
      </w:pPr>
      <w:r>
        <w:rPr>
          <w:color w:val="000000"/>
          <w:sz w:val="20"/>
          <w:lang w:eastAsia="en-US"/>
        </w:rPr>
        <w:t>eliminate some of the "double negatives" which were inserted by me earlier this year (please see my e-mail to the Legal Trading Committee dated June 13, 2000); and</w:t>
      </w:r>
    </w:p>
    <w:p>
      <w:pPr>
        <w:pStyle w:val="Normal"/>
        <w:tabs>
          <w:tab w:val="clear" w:pos="540"/>
        </w:tabs>
        <w:spacing w:lineRule="atLeast" w:line="240"/>
        <w:ind w:start="720" w:end="0"/>
        <w:rPr>
          <w:color w:val="000000"/>
          <w:sz w:val="20"/>
          <w:lang w:eastAsia="en-US"/>
        </w:rPr>
      </w:pPr>
      <w:r>
        <w:rPr>
          <w:color w:val="000000"/>
          <w:sz w:val="20"/>
          <w:lang w:eastAsia="en-US"/>
        </w:rPr>
      </w:r>
    </w:p>
    <w:p>
      <w:pPr>
        <w:pStyle w:val="Normal"/>
        <w:numPr>
          <w:ilvl w:val="0"/>
          <w:numId w:val="4"/>
        </w:numPr>
        <w:tabs>
          <w:tab w:val="clear" w:pos="540"/>
          <w:tab w:val="left" w:pos="1080" w:leader="none"/>
        </w:tabs>
        <w:spacing w:lineRule="atLeast" w:line="240"/>
        <w:rPr>
          <w:color w:val="000000"/>
          <w:sz w:val="20"/>
          <w:lang w:eastAsia="en-US"/>
        </w:rPr>
      </w:pPr>
      <w:r>
        <w:rPr>
          <w:color w:val="000000"/>
          <w:sz w:val="20"/>
          <w:lang w:eastAsia="en-US"/>
        </w:rPr>
        <w:t>the deletion of the word "unexcused" such that:</w:t>
      </w:r>
    </w:p>
    <w:p>
      <w:pPr>
        <w:pStyle w:val="Normal"/>
        <w:tabs>
          <w:tab w:val="clear" w:pos="540"/>
        </w:tabs>
        <w:spacing w:lineRule="atLeast" w:line="240"/>
        <w:ind w:start="720" w:end="0"/>
        <w:rPr>
          <w:color w:val="000000"/>
          <w:sz w:val="20"/>
          <w:lang w:eastAsia="en-US"/>
        </w:rPr>
      </w:pPr>
      <w:r>
        <w:rPr>
          <w:color w:val="000000"/>
          <w:sz w:val="20"/>
          <w:lang w:eastAsia="en-US"/>
        </w:rPr>
      </w:r>
    </w:p>
    <w:p>
      <w:pPr>
        <w:pStyle w:val="Normal"/>
        <w:numPr>
          <w:ilvl w:val="0"/>
          <w:numId w:val="6"/>
        </w:numPr>
        <w:tabs>
          <w:tab w:val="clear" w:pos="540"/>
        </w:tabs>
        <w:spacing w:lineRule="atLeast" w:line="240"/>
        <w:rPr>
          <w:color w:val="000000"/>
          <w:sz w:val="20"/>
          <w:lang w:eastAsia="en-US"/>
        </w:rPr>
      </w:pPr>
      <w:r>
        <w:rPr>
          <w:color w:val="000000"/>
          <w:sz w:val="20"/>
          <w:lang w:eastAsia="en-US"/>
        </w:rPr>
        <w:t>in the case of section 6.2, a Seller's failure to sell and deliver which is solely attributable to a Buyer's failure to purchase and receive would not be considered a "Seller's Deficiency Default" whether or not the Buyer was excused from performance (i.e.  if a "Triggering Event" affecting the Seller occurs and the Buyer decides to enforce its rights to suspend deliveries of gas in accordance with Section 10.1, the Seller will not be considered to be guilty of a "Seller's Deficiency Default"); and</w:t>
      </w:r>
    </w:p>
    <w:p>
      <w:pPr>
        <w:pStyle w:val="Normal"/>
        <w:tabs>
          <w:tab w:val="clear" w:pos="540"/>
        </w:tabs>
        <w:spacing w:lineRule="atLeast" w:line="240"/>
        <w:ind w:start="1440" w:end="0"/>
        <w:rPr>
          <w:color w:val="000000"/>
          <w:sz w:val="20"/>
          <w:lang w:eastAsia="en-US"/>
        </w:rPr>
      </w:pPr>
      <w:r>
        <w:rPr>
          <w:color w:val="000000"/>
          <w:sz w:val="20"/>
          <w:lang w:eastAsia="en-US"/>
        </w:rPr>
      </w:r>
    </w:p>
    <w:p>
      <w:pPr>
        <w:pStyle w:val="Normal"/>
        <w:numPr>
          <w:ilvl w:val="0"/>
          <w:numId w:val="3"/>
        </w:numPr>
        <w:tabs>
          <w:tab w:val="clear" w:pos="540"/>
          <w:tab w:val="left" w:pos="1800" w:leader="none"/>
        </w:tabs>
        <w:spacing w:lineRule="atLeast" w:line="240"/>
        <w:ind w:hanging="360" w:start="1800" w:end="0"/>
        <w:rPr>
          <w:color w:val="000000"/>
          <w:sz w:val="20"/>
          <w:lang w:eastAsia="en-US"/>
        </w:rPr>
      </w:pPr>
      <w:r>
        <w:rPr>
          <w:color w:val="000000"/>
          <w:sz w:val="20"/>
          <w:lang w:eastAsia="en-US"/>
        </w:rPr>
        <w:t>in the case of section 6.4, a Buyer's failure to purchase and receive which is solely attributable to a Seller's failure to sell and deliver would not be considered a Buyer's Deficiency Default whether or not the Seller was excused from performance (i.e.  if the Seller decides not to sell any more gas pursuant to its rights under section 9.4 of the Physical Master, the Buyer would not be considered to be guilty of a Buyer's Deficiency Default);</w:t>
      </w:r>
    </w:p>
    <w:p>
      <w:pPr>
        <w:pStyle w:val="Normal"/>
        <w:tabs>
          <w:tab w:val="clear" w:pos="540"/>
        </w:tabs>
        <w:spacing w:lineRule="atLeast" w:line="240"/>
        <w:rPr>
          <w:color w:val="000000"/>
          <w:sz w:val="20"/>
          <w:lang w:eastAsia="en-US"/>
        </w:rPr>
      </w:pPr>
      <w:r>
        <w:rPr>
          <w:color w:val="000000"/>
          <w:sz w:val="20"/>
          <w:lang w:eastAsia="en-US"/>
        </w:rPr>
      </w:r>
    </w:p>
    <w:p>
      <w:pPr>
        <w:pStyle w:val="Normal"/>
        <w:numPr>
          <w:ilvl w:val="0"/>
          <w:numId w:val="7"/>
        </w:numPr>
        <w:spacing w:lineRule="atLeast" w:line="240"/>
        <w:rPr>
          <w:color w:val="000000"/>
          <w:sz w:val="20"/>
          <w:lang w:eastAsia="en-US"/>
        </w:rPr>
      </w:pPr>
      <w:r>
        <w:rPr>
          <w:color w:val="000000"/>
          <w:sz w:val="20"/>
          <w:lang w:eastAsia="en-US"/>
        </w:rPr>
        <w:t>section 9.1(b) be amended such that the exceptions regarding the payment of "Seller's Amounts" tracks the language used in sections 6.2 and 6.4; and</w:t>
      </w:r>
    </w:p>
    <w:p>
      <w:pPr>
        <w:pStyle w:val="Normal"/>
        <w:tabs>
          <w:tab w:val="clear" w:pos="540"/>
        </w:tabs>
        <w:spacing w:lineRule="atLeast" w:line="240"/>
        <w:rPr>
          <w:color w:val="000000"/>
          <w:sz w:val="20"/>
          <w:lang w:eastAsia="en-US"/>
        </w:rPr>
      </w:pPr>
      <w:r>
        <w:rPr>
          <w:color w:val="000000"/>
          <w:sz w:val="20"/>
          <w:lang w:eastAsia="en-US"/>
        </w:rPr>
      </w:r>
    </w:p>
    <w:p>
      <w:pPr>
        <w:pStyle w:val="Normal"/>
        <w:numPr>
          <w:ilvl w:val="0"/>
          <w:numId w:val="7"/>
        </w:numPr>
        <w:spacing w:lineRule="atLeast" w:line="240"/>
        <w:rPr>
          <w:color w:val="000000"/>
          <w:sz w:val="20"/>
          <w:lang w:eastAsia="en-US"/>
        </w:rPr>
      </w:pPr>
      <w:r>
        <w:rPr>
          <w:color w:val="000000"/>
          <w:sz w:val="20"/>
          <w:lang w:eastAsia="en-US"/>
        </w:rPr>
        <w:t>the first reference (as contained in the definition of "Letter of Credit" in section 1.1) to Standard &amp; Poor's and Moody's be amended to refer to the full legal name and successors thereof for each entity.</w:t>
      </w:r>
    </w:p>
    <w:p>
      <w:pPr>
        <w:pStyle w:val="Normal"/>
        <w:spacing w:lineRule="atLeast" w:line="240"/>
        <w:rPr>
          <w:color w:val="000000"/>
          <w:sz w:val="20"/>
          <w:lang w:eastAsia="en-US"/>
        </w:rPr>
      </w:pPr>
      <w:r>
        <w:rPr>
          <w:color w:val="000000"/>
          <w:sz w:val="20"/>
          <w:lang w:eastAsia="en-US"/>
        </w:rPr>
      </w:r>
    </w:p>
    <w:p>
      <w:pPr>
        <w:pStyle w:val="Normal"/>
        <w:tabs>
          <w:tab w:val="clear" w:pos="540"/>
        </w:tabs>
        <w:spacing w:lineRule="atLeast" w:line="240"/>
        <w:rPr>
          <w:color w:val="000000"/>
          <w:sz w:val="20"/>
          <w:lang w:eastAsia="en-US"/>
        </w:rPr>
      </w:pPr>
      <w:r>
        <w:rPr>
          <w:color w:val="000000"/>
          <w:sz w:val="20"/>
          <w:lang w:eastAsia="en-US"/>
        </w:rPr>
      </w:r>
    </w:p>
    <w:p>
      <w:pPr>
        <w:pStyle w:val="BodyText"/>
        <w:rPr>
          <w:rFonts w:ascii="Arial" w:hAnsi="Arial" w:cs="Arial"/>
          <w:sz w:val="20"/>
        </w:rPr>
      </w:pPr>
      <w:r>
        <w:rPr>
          <w:rFonts w:cs="Arial" w:ascii="Arial" w:hAnsi="Arial"/>
          <w:sz w:val="20"/>
        </w:rPr>
        <w:t>Please let me know if you approve of the proposed amendments as soon as is practicable.  If you have any questions, please give me a call.  I can be reached directly at (403) 974-6708.</w:t>
      </w:r>
    </w:p>
    <w:p>
      <w:pPr>
        <w:pStyle w:val="Normal"/>
        <w:spacing w:lineRule="atLeast" w:line="240"/>
        <w:rPr>
          <w:rFonts w:ascii="Arial" w:hAnsi="Arial" w:cs="Arial"/>
          <w:color w:val="000000"/>
          <w:sz w:val="20"/>
          <w:lang w:eastAsia="en-US"/>
        </w:rPr>
      </w:pPr>
      <w:r>
        <w:rPr>
          <w:rFonts w:cs="Arial"/>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Thanks,</w:t>
      </w:r>
    </w:p>
    <w:p>
      <w:pPr>
        <w:pStyle w:val="Body"/>
        <w:spacing w:before="120" w:after="120"/>
        <w:ind w:start="0" w:end="0"/>
        <w:jc w:val="both"/>
        <w:rPr>
          <w:color w:val="000000"/>
          <w:lang w:eastAsia="en-US"/>
        </w:rPr>
      </w:pPr>
      <w:r>
        <w:rPr>
          <w:color w:val="000000"/>
          <w:lang w:eastAsia="en-US"/>
        </w:rPr>
        <w:t>Mark Powell</w:t>
      </w:r>
    </w:p>
    <w:sectPr>
      <w:headerReference w:type="default" r:id="rId3"/>
      <w:headerReference w:type="first" r:id="rId4"/>
      <w:footerReference w:type="default" r:id="rId5"/>
      <w:footerReference w:type="first" r:id="rId6"/>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/mnt/main-storage/datasets/enron-docs/doc/Master_Amendment__NGX__Memo.MP.doc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/mnt/main-storage/datasets/enron-docs/doc/Master_Amendment__NGX__Memo.MP.doc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lowerLetter"/>
      <w:lvlText w:val="%1."/>
      <w:lvlJc w:val="start"/>
      <w:pPr>
        <w:tabs>
          <w:tab w:val="num" w:pos="900"/>
        </w:tabs>
        <w:ind w:start="900" w:hanging="360"/>
      </w:pPr>
      <w:rPr/>
    </w:lvl>
  </w:abstractNum>
  <w:abstractNum w:abstractNumId="3">
    <w:lvl w:ilvl="0">
      <w:start w:val="2"/>
      <w:numFmt w:val="upperRoman"/>
      <w:lvlText w:val="%1."/>
      <w:lvlJc w:val="start"/>
      <w:pPr>
        <w:tabs>
          <w:tab w:val="num" w:pos="2160"/>
        </w:tabs>
        <w:ind w:start="2160" w:hanging="720"/>
      </w:pPr>
      <w:rPr/>
    </w:lvl>
  </w:abstractNum>
  <w:abstractNum w:abstractNumId="4">
    <w:lvl w:ilvl="0">
      <w:start w:val="2"/>
      <w:numFmt w:val="lowerRoman"/>
      <w:lvlText w:val="%1."/>
      <w:lvlJc w:val="start"/>
      <w:pPr>
        <w:tabs>
          <w:tab w:val="num" w:pos="1440"/>
        </w:tabs>
        <w:ind w:start="1440" w:hanging="720"/>
      </w:pPr>
      <w:rPr/>
    </w:lvl>
  </w:abstractNum>
  <w:abstractNum w:abstractNumId="5">
    <w:lvl w:ilvl="0">
      <w:start w:val="1"/>
      <w:numFmt w:val="lowerLetter"/>
      <w:lvlText w:val="%1."/>
      <w:lvlJc w:val="start"/>
      <w:pPr>
        <w:tabs>
          <w:tab w:val="num" w:pos="540"/>
        </w:tabs>
        <w:ind w:start="540" w:hanging="540"/>
      </w:pPr>
      <w:rPr/>
    </w:lvl>
  </w:abstractNum>
  <w:abstractNum w:abstractNumId="6">
    <w:lvl w:ilvl="0">
      <w:start w:val="9"/>
      <w:numFmt w:val="upperLetter"/>
      <w:lvlText w:val="%1."/>
      <w:lvlJc w:val="start"/>
      <w:pPr>
        <w:tabs>
          <w:tab w:val="num" w:pos="1800"/>
        </w:tabs>
        <w:ind w:start="1800" w:hanging="360"/>
      </w:pPr>
      <w:rPr/>
    </w:lvl>
  </w:abstractNum>
  <w:abstractNum w:abstractNumId="7">
    <w:lvl w:ilvl="0">
      <w:start w:val="1"/>
      <w:numFmt w:val="lowerLetter"/>
      <w:lvlText w:val="%1."/>
      <w:lvlJc w:val="start"/>
      <w:pPr>
        <w:tabs>
          <w:tab w:val="num" w:pos="540"/>
        </w:tabs>
        <w:ind w:start="540" w:hanging="5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pPr>
    <w:rPr>
      <w:rFonts w:ascii="Helv" w:hAnsi="Helv" w:cs="Helv"/>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lang w:eastAsia="en-US"/>
    </w:rPr>
  </w:style>
  <w:style w:type="paragraph" w:styleId="BodyText2">
    <w:name w:val="Body Text 2"/>
    <w:basedOn w:val="Normal"/>
    <w:qFormat/>
    <w:pPr>
      <w:spacing w:lineRule="atLeast" w:line="240"/>
    </w:pPr>
    <w:rPr>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2000-10-24T21:28:00Z</dcterms:created>
  <dc:creator>ncappel</dc:creator>
  <dc:description/>
  <dc:language>en-CA</dc:language>
  <cp:lastModifiedBy>Mark Powell</cp:lastModifiedBy>
  <cp:lastPrinted>2000-10-24T17:58:00Z</cp:lastPrinted>
  <dcterms:modified xsi:type="dcterms:W3CDTF">2000-10-24T21:33:00Z</dcterms:modified>
  <cp:revision>3</cp:revision>
  <dc:subject/>
  <dc:title>Eron Capital &amp; Trade Resources Memo</dc:title>
</cp:coreProperties>
</file>