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Alan Aronowitz, Mark Haedicke, Jeff Hodge, Peter Keohane and Mark Taylor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rPr>
                <w:sz w:val="18"/>
              </w:rPr>
            </w:pPr>
            <w:r>
              <w:rPr>
                <w:sz w:val="18"/>
              </w:rPr>
              <w:t>Chris Gaffney &amp; Greg Johnston</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Powell</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Law</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Suggested Amendments to the Enron Canada Corp. Master Firm Gas Purchase/Sale Agreement (the "Physical Master")</w:t>
            </w:r>
          </w:p>
          <w:p>
            <w:pPr>
              <w:pStyle w:val="Subject"/>
              <w:rPr/>
            </w:pPr>
            <w:r>
              <w:rPr/>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September 13, 2000</w:t>
            </w:r>
          </w:p>
        </w:tc>
      </w:tr>
    </w:tbl>
    <w:p>
      <w:pPr>
        <w:pStyle w:val="Body"/>
        <w:spacing w:before="120" w:after="120"/>
        <w:ind w:start="90" w:end="0"/>
        <w:jc w:val="both"/>
        <w:rPr>
          <w:sz w:val="22"/>
        </w:rPr>
      </w:pPr>
      <w:r>
        <w:rPr>
          <w:sz w:val="22"/>
        </w:rPr>
      </w:r>
      <w:bookmarkStart w:id="1" w:name="StartOfMemo"/>
      <w:bookmarkStart w:id="2" w:name="StartOfMemo"/>
      <w:bookmarkEnd w:id="2"/>
    </w:p>
    <w:p>
      <w:pPr>
        <w:pStyle w:val="BodyText2"/>
        <w:rPr/>
      </w:pPr>
      <w:r>
        <w:rPr/>
        <w:t>In light of the recent decision of the Alberta Court of Appeal (which allowed the appeal of  Enron Canada Corp. regarding a lower court determination that the Physical Master was not an "eligible financial contract" under relevant Canadian bankruptcy and insolvency legislation), we are considering removing the "automatic termination" provisions relating to bankruptcy and insolvency events contained in the Physical Master.   In this regard, please find attached a blacklined version of the Physical Master which indicates, amongst other relatively minor amendments (as listed on the second page of this memo), our proposed changes at section 10.1 and section 10.2 of the Physical Master.</w:t>
      </w:r>
    </w:p>
    <w:p>
      <w:pPr>
        <w:pStyle w:val="Normal"/>
        <w:spacing w:lineRule="atLeast" w:line="240"/>
        <w:rPr>
          <w:color w:val="000000"/>
          <w:sz w:val="22"/>
          <w:lang w:eastAsia="en-US"/>
        </w:rPr>
      </w:pPr>
      <w:r>
        <w:rPr>
          <w:color w:val="000000"/>
          <w:sz w:val="22"/>
          <w:lang w:eastAsia="en-US"/>
        </w:rPr>
      </w:r>
    </w:p>
    <w:p>
      <w:pPr>
        <w:pStyle w:val="Normal"/>
        <w:spacing w:lineRule="atLeast" w:line="240"/>
        <w:rPr>
          <w:color w:val="000000"/>
          <w:sz w:val="22"/>
          <w:lang w:eastAsia="en-US"/>
        </w:rPr>
      </w:pPr>
      <w:r>
        <w:rPr>
          <w:color w:val="000000"/>
          <w:sz w:val="22"/>
          <w:lang w:eastAsia="en-US"/>
        </w:rPr>
        <w:t>The conclusion that the Physical Master is an eligible financial contract obviates the benefit of automatically terminating a Physical Master immediately prior to a bankruptcy or insolvency event as the parties to the agreement are not prohibited from terminating the agreement upon insolvency.  As stated by Madame Justice Fruman in the Blue Range Decision, "Despite an insolvency, creditors are entitled to terminate "eligible financial contracts" and set-off obligations".</w:t>
      </w:r>
    </w:p>
    <w:p>
      <w:pPr>
        <w:pStyle w:val="Normal"/>
        <w:spacing w:lineRule="atLeast" w:line="240"/>
        <w:rPr>
          <w:color w:val="000000"/>
          <w:sz w:val="22"/>
          <w:lang w:eastAsia="en-US"/>
        </w:rPr>
      </w:pPr>
      <w:r>
        <w:rPr>
          <w:color w:val="000000"/>
          <w:sz w:val="22"/>
          <w:lang w:eastAsia="en-US"/>
        </w:rPr>
      </w:r>
    </w:p>
    <w:p>
      <w:pPr>
        <w:pStyle w:val="Normal"/>
        <w:spacing w:lineRule="atLeast" w:line="240"/>
        <w:rPr>
          <w:color w:val="000000"/>
          <w:sz w:val="22"/>
          <w:lang w:eastAsia="en-US"/>
        </w:rPr>
      </w:pPr>
      <w:r>
        <w:rPr>
          <w:color w:val="000000"/>
          <w:sz w:val="22"/>
          <w:lang w:eastAsia="en-US"/>
        </w:rPr>
        <w:t xml:space="preserve">By removing the automatic termination provisions, the parties will have greater flexibility to deal with bankruptcy and insolvency events (to match the rights which they have with respect to other "Triggering Events").  In addition, the proposed amendments may have some collateral benefits with respect to our "Master Amendment Project".  As you know, the majority of the amendments to the "deficient" Physical Masters have already been prepared.  However, we have seen very few of them executed and returned to us.  Further, the business people seem to be hesitant to send out the prepared "amendments".  </w:t>
      </w:r>
    </w:p>
    <w:p>
      <w:pPr>
        <w:pStyle w:val="Normal"/>
        <w:spacing w:lineRule="atLeast" w:line="240"/>
        <w:rPr>
          <w:color w:val="000000"/>
          <w:sz w:val="22"/>
          <w:lang w:eastAsia="en-US"/>
        </w:rPr>
      </w:pPr>
      <w:r>
        <w:rPr>
          <w:color w:val="000000"/>
          <w:sz w:val="22"/>
          <w:lang w:eastAsia="en-US"/>
        </w:rPr>
      </w:r>
    </w:p>
    <w:p>
      <w:pPr>
        <w:pStyle w:val="Normal"/>
        <w:spacing w:lineRule="atLeast" w:line="240"/>
        <w:rPr>
          <w:color w:val="000000"/>
          <w:sz w:val="22"/>
          <w:lang w:eastAsia="en-US"/>
        </w:rPr>
      </w:pPr>
      <w:r>
        <w:rPr>
          <w:color w:val="000000"/>
          <w:sz w:val="22"/>
          <w:lang w:eastAsia="en-US"/>
        </w:rPr>
        <w:t>This is attributable to the facts that the amendments are typically 12 to 14 pages long and require a reader to flip back and forth from the original agreement (as well as an previous amendments thereto) to the "amendment".  In other words, there is little incentive for a counterparty to go through so much work at the mere request of Enron Canada.</w:t>
      </w:r>
    </w:p>
    <w:p>
      <w:pPr>
        <w:pStyle w:val="Normal"/>
        <w:spacing w:lineRule="atLeast" w:line="240"/>
        <w:rPr>
          <w:color w:val="000000"/>
          <w:sz w:val="22"/>
          <w:lang w:eastAsia="en-US"/>
        </w:rPr>
      </w:pPr>
      <w:r>
        <w:rPr>
          <w:color w:val="000000"/>
          <w:sz w:val="22"/>
          <w:lang w:eastAsia="en-US"/>
        </w:rPr>
      </w:r>
    </w:p>
    <w:p>
      <w:pPr>
        <w:pStyle w:val="Normal"/>
        <w:spacing w:lineRule="atLeast" w:line="240"/>
        <w:rPr>
          <w:color w:val="000000"/>
          <w:sz w:val="22"/>
          <w:lang w:eastAsia="en-US"/>
        </w:rPr>
      </w:pPr>
      <w:r>
        <w:rPr>
          <w:color w:val="000000"/>
          <w:sz w:val="22"/>
          <w:lang w:eastAsia="en-US"/>
        </w:rPr>
        <w:t xml:space="preserve">However, by preparing "amended and restated master agreements" which remove the automatic termination provisions of section 10.1, our section 10.2 issue virtually disappears.  As a result, we can prepare amended and restated agreements which will not only be much more user friendly, but will arguably have a lower risk of exposing the section 10.2 issue (when compared to the risk associated with forwarding 12 to 14 page "amendments").  Additionally, we would be able to provide "blacklines" to the original agreements which would improve the likelihood of review and execution by the relevant counterparties.  Finally on this point,  it should be noted that the Blue Range decision is of such significance that I would think that our counterparties would not be surprised to see (and may, in fact, expect) "amended and restated agreements" from Enron Canada.  </w:t>
      </w:r>
    </w:p>
    <w:p>
      <w:pPr>
        <w:pStyle w:val="Normal"/>
        <w:spacing w:lineRule="atLeast" w:line="240"/>
        <w:rPr>
          <w:color w:val="000000"/>
          <w:sz w:val="22"/>
          <w:lang w:eastAsia="en-US"/>
        </w:rPr>
      </w:pPr>
      <w:r>
        <w:rPr>
          <w:color w:val="000000"/>
          <w:sz w:val="22"/>
          <w:lang w:eastAsia="en-US"/>
        </w:rPr>
      </w:r>
    </w:p>
    <w:p>
      <w:pPr>
        <w:pStyle w:val="Normal"/>
        <w:spacing w:lineRule="atLeast" w:line="240"/>
        <w:rPr>
          <w:color w:val="000000"/>
          <w:sz w:val="22"/>
          <w:lang w:eastAsia="en-US"/>
        </w:rPr>
      </w:pPr>
      <w:r>
        <w:rPr>
          <w:color w:val="000000"/>
          <w:sz w:val="22"/>
          <w:lang w:eastAsia="en-US"/>
        </w:rPr>
        <w:t>As for the other amendments contained in the enclosed blackline, please be advised of the following proposed changes:</w:t>
      </w:r>
    </w:p>
    <w:p>
      <w:pPr>
        <w:pStyle w:val="Normal"/>
        <w:spacing w:lineRule="atLeast" w:line="240"/>
        <w:rPr>
          <w:color w:val="000000"/>
          <w:sz w:val="22"/>
          <w:lang w:eastAsia="en-US"/>
        </w:rPr>
      </w:pPr>
      <w:r>
        <w:rPr>
          <w:color w:val="000000"/>
          <w:sz w:val="22"/>
          <w:lang w:eastAsia="en-US"/>
        </w:rPr>
      </w:r>
    </w:p>
    <w:p>
      <w:pPr>
        <w:pStyle w:val="Normal"/>
        <w:numPr>
          <w:ilvl w:val="0"/>
          <w:numId w:val="2"/>
        </w:numPr>
        <w:spacing w:lineRule="atLeast" w:line="240"/>
        <w:rPr>
          <w:color w:val="000000"/>
          <w:sz w:val="22"/>
          <w:lang w:eastAsia="en-US"/>
        </w:rPr>
      </w:pPr>
      <w:r>
        <w:rPr>
          <w:color w:val="000000"/>
          <w:sz w:val="22"/>
          <w:lang w:eastAsia="en-US"/>
        </w:rPr>
        <w:t>Article 4 – I have merely removed the redundant use of the word "quantity";</w:t>
      </w:r>
    </w:p>
    <w:p>
      <w:pPr>
        <w:pStyle w:val="Normal"/>
        <w:tabs>
          <w:tab w:val="clear" w:pos="540"/>
        </w:tabs>
        <w:spacing w:lineRule="atLeast" w:line="240"/>
        <w:rPr>
          <w:color w:val="000000"/>
          <w:sz w:val="22"/>
          <w:lang w:eastAsia="en-US"/>
        </w:rPr>
      </w:pPr>
      <w:r>
        <w:rPr>
          <w:color w:val="000000"/>
          <w:sz w:val="22"/>
          <w:lang w:eastAsia="en-US"/>
        </w:rPr>
      </w:r>
    </w:p>
    <w:p>
      <w:pPr>
        <w:pStyle w:val="Normal"/>
        <w:numPr>
          <w:ilvl w:val="0"/>
          <w:numId w:val="2"/>
        </w:numPr>
        <w:spacing w:lineRule="atLeast" w:line="240"/>
        <w:rPr>
          <w:color w:val="000000"/>
          <w:sz w:val="22"/>
          <w:lang w:eastAsia="en-US"/>
        </w:rPr>
      </w:pPr>
      <w:r>
        <w:rPr>
          <w:color w:val="000000"/>
          <w:sz w:val="22"/>
          <w:lang w:eastAsia="en-US"/>
        </w:rPr>
        <w:t>Section 10.3 – I have merely clarified that it is a "Triggering Event" for a guarantor to perform its obligations under the applicable guarantee, AS AMENDED; and</w:t>
      </w:r>
    </w:p>
    <w:p>
      <w:pPr>
        <w:pStyle w:val="Normal"/>
        <w:tabs>
          <w:tab w:val="clear" w:pos="540"/>
        </w:tabs>
        <w:spacing w:lineRule="atLeast" w:line="240"/>
        <w:rPr>
          <w:color w:val="000000"/>
          <w:sz w:val="22"/>
          <w:lang w:eastAsia="en-US"/>
        </w:rPr>
      </w:pPr>
      <w:r>
        <w:rPr>
          <w:color w:val="000000"/>
          <w:sz w:val="22"/>
          <w:lang w:eastAsia="en-US"/>
        </w:rPr>
      </w:r>
    </w:p>
    <w:p>
      <w:pPr>
        <w:pStyle w:val="Normal"/>
        <w:numPr>
          <w:ilvl w:val="0"/>
          <w:numId w:val="2"/>
        </w:numPr>
        <w:spacing w:lineRule="atLeast" w:line="240"/>
        <w:rPr>
          <w:color w:val="000000"/>
          <w:sz w:val="22"/>
          <w:lang w:eastAsia="en-US"/>
        </w:rPr>
      </w:pPr>
      <w:r>
        <w:rPr>
          <w:color w:val="000000"/>
          <w:sz w:val="22"/>
          <w:lang w:eastAsia="en-US"/>
        </w:rPr>
        <w:t>Section 14.1 – I have merely inserted Section 10.1 (the right for a non-defaulting party to withhold payments and suspend deliveries and receipts upon the occurrence of a "Triggering Event") as an additional excuse for non-performance.</w:t>
      </w:r>
    </w:p>
    <w:p>
      <w:pPr>
        <w:pStyle w:val="Normal"/>
        <w:tabs>
          <w:tab w:val="clear" w:pos="540"/>
        </w:tabs>
        <w:spacing w:lineRule="atLeast" w:line="240"/>
        <w:rPr>
          <w:color w:val="000000"/>
          <w:sz w:val="22"/>
          <w:lang w:eastAsia="en-US"/>
        </w:rPr>
      </w:pPr>
      <w:r>
        <w:rPr>
          <w:color w:val="000000"/>
          <w:sz w:val="22"/>
          <w:lang w:eastAsia="en-US"/>
        </w:rPr>
      </w:r>
    </w:p>
    <w:p>
      <w:pPr>
        <w:pStyle w:val="Normal"/>
        <w:tabs>
          <w:tab w:val="clear" w:pos="540"/>
        </w:tabs>
        <w:spacing w:lineRule="atLeast" w:line="240"/>
        <w:rPr>
          <w:color w:val="000000"/>
          <w:sz w:val="22"/>
          <w:lang w:eastAsia="en-US"/>
        </w:rPr>
      </w:pPr>
      <w:r>
        <w:rPr>
          <w:color w:val="000000"/>
          <w:sz w:val="22"/>
          <w:lang w:eastAsia="en-US"/>
        </w:rPr>
        <w:t>As you will note, each of the amendments listed immediately above are relatively minor in comparison to the amendment regarding the automatic termination provisions.</w:t>
      </w:r>
    </w:p>
    <w:p>
      <w:pPr>
        <w:pStyle w:val="Normal"/>
        <w:tabs>
          <w:tab w:val="clear" w:pos="540"/>
        </w:tabs>
        <w:spacing w:lineRule="atLeast" w:line="240"/>
        <w:rPr>
          <w:color w:val="000000"/>
          <w:sz w:val="22"/>
          <w:lang w:eastAsia="en-US"/>
        </w:rPr>
      </w:pPr>
      <w:r>
        <w:rPr>
          <w:color w:val="000000"/>
          <w:sz w:val="22"/>
          <w:lang w:eastAsia="en-US"/>
        </w:rPr>
      </w:r>
    </w:p>
    <w:p>
      <w:pPr>
        <w:pStyle w:val="BodyText"/>
        <w:rPr>
          <w:rFonts w:ascii="Arial" w:hAnsi="Arial" w:cs="Arial"/>
          <w:sz w:val="22"/>
        </w:rPr>
      </w:pPr>
      <w:r>
        <w:rPr>
          <w:rFonts w:cs="Arial" w:ascii="Arial" w:hAnsi="Arial"/>
          <w:sz w:val="22"/>
        </w:rPr>
        <w:t>Please let me know if you approve of the proposed amendments as soon as is practicable.  If we are going to make the changes, I will contact the various business people who have yet to send out their "amendments" and prepare replacement "amended and restated master agreements" for execution.</w:t>
      </w:r>
    </w:p>
    <w:p>
      <w:pPr>
        <w:pStyle w:val="Normal"/>
        <w:tabs>
          <w:tab w:val="clear" w:pos="540"/>
        </w:tabs>
        <w:spacing w:lineRule="atLeast" w:line="240"/>
        <w:rPr>
          <w:rFonts w:ascii="Arial" w:hAnsi="Arial" w:cs="Arial"/>
          <w:color w:val="000000"/>
          <w:sz w:val="22"/>
          <w:lang w:eastAsia="en-US"/>
        </w:rPr>
      </w:pPr>
      <w:r>
        <w:rPr>
          <w:rFonts w:cs="Arial"/>
          <w:color w:val="000000"/>
          <w:sz w:val="22"/>
          <w:lang w:eastAsia="en-US"/>
        </w:rPr>
      </w:r>
    </w:p>
    <w:p>
      <w:pPr>
        <w:pStyle w:val="Normal"/>
        <w:spacing w:lineRule="atLeast" w:line="240"/>
        <w:rPr>
          <w:color w:val="000000"/>
          <w:sz w:val="22"/>
          <w:lang w:eastAsia="en-US"/>
        </w:rPr>
      </w:pPr>
      <w:r>
        <w:rPr>
          <w:color w:val="000000"/>
          <w:sz w:val="22"/>
          <w:lang w:eastAsia="en-US"/>
        </w:rPr>
        <w:t>If you have any questions, please give me a call.  I can be reached directly at (403) 974-6708.</w:t>
      </w:r>
    </w:p>
    <w:p>
      <w:pPr>
        <w:pStyle w:val="Normal"/>
        <w:spacing w:lineRule="atLeast" w:line="240"/>
        <w:rPr>
          <w:color w:val="000000"/>
          <w:sz w:val="22"/>
          <w:lang w:eastAsia="en-US"/>
        </w:rPr>
      </w:pPr>
      <w:r>
        <w:rPr>
          <w:color w:val="000000"/>
          <w:sz w:val="22"/>
          <w:lang w:eastAsia="en-US"/>
        </w:rPr>
      </w:r>
    </w:p>
    <w:p>
      <w:pPr>
        <w:pStyle w:val="Normal"/>
        <w:spacing w:lineRule="atLeast" w:line="240"/>
        <w:rPr>
          <w:color w:val="000000"/>
          <w:sz w:val="22"/>
          <w:lang w:eastAsia="en-US"/>
        </w:rPr>
      </w:pPr>
      <w:r>
        <w:rPr>
          <w:color w:val="000000"/>
          <w:sz w:val="22"/>
          <w:lang w:eastAsia="en-US"/>
        </w:rPr>
      </w:r>
    </w:p>
    <w:p>
      <w:pPr>
        <w:pStyle w:val="Normal"/>
        <w:spacing w:lineRule="atLeast" w:line="240"/>
        <w:rPr>
          <w:color w:val="000000"/>
          <w:sz w:val="22"/>
          <w:lang w:eastAsia="en-US"/>
        </w:rPr>
      </w:pPr>
      <w:r>
        <w:rPr>
          <w:color w:val="000000"/>
          <w:sz w:val="22"/>
          <w:lang w:eastAsia="en-US"/>
        </w:rPr>
        <w:t>Thanks,</w:t>
      </w:r>
    </w:p>
    <w:p>
      <w:pPr>
        <w:pStyle w:val="Body"/>
        <w:spacing w:before="120" w:after="120"/>
        <w:ind w:start="0" w:end="0"/>
        <w:jc w:val="both"/>
        <w:rPr>
          <w:color w:val="000000"/>
          <w:sz w:val="22"/>
          <w:lang w:eastAsia="en-US"/>
        </w:rPr>
      </w:pPr>
      <w:r>
        <w:rPr>
          <w:color w:val="000000"/>
          <w:sz w:val="22"/>
          <w:lang w:eastAsia="en-US"/>
        </w:rPr>
        <w:t>Mark Powell</w:t>
      </w:r>
    </w:p>
    <w:sectPr>
      <w:headerReference w:type="default" r:id="rId3"/>
      <w:headerReference w:type="first" r:id="rId4"/>
      <w:footerReference w:type="default" r:id="rId5"/>
      <w:footerReference w:type="first" r:id="rId6"/>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/mnt/main-storage/datasets/enron-docs/doc/Master_Amendment__Blue_Range__Memo.MP.doc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/mnt/main-storage/datasets/enron-docs/doc/Master_Amendment__Blue_Range__Memo.MP.doc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2</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
        </w:tabs>
        <w:ind w:start="540" w:hanging="5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pPr>
    <w:rPr>
      <w:rFonts w:ascii="Helv" w:hAnsi="Helv" w:cs="Helv"/>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lang w:eastAsia="en-US"/>
    </w:rPr>
  </w:style>
  <w:style w:type="paragraph" w:styleId="BodyText2">
    <w:name w:val="Body Text 2"/>
    <w:basedOn w:val="Normal"/>
    <w:qFormat/>
    <w:pPr>
      <w:spacing w:lineRule="atLeast" w:line="240"/>
    </w:pPr>
    <w:rPr>
      <w:color w:val="000000"/>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2000-09-13T20:39:00Z</dcterms:created>
  <dc:creator>ncappel</dc:creator>
  <dc:description/>
  <dc:language>en-CA</dc:language>
  <cp:lastModifiedBy>Mark Powell</cp:lastModifiedBy>
  <cp:lastPrinted>2000-09-13T17:09:00Z</cp:lastPrinted>
  <dcterms:modified xsi:type="dcterms:W3CDTF">2000-09-13T20:39:00Z</dcterms:modified>
  <cp:revision>3</cp:revision>
  <dc:subject/>
  <dc:title>Eron Capital &amp; Trade Resources Memo</dc:title>
</cp:coreProperties>
</file>