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r>
    </w:p>
    <w:p>
      <w:pPr>
        <w:pStyle w:val="Normal"/>
        <w:jc w:val="start"/>
        <w:rPr/>
      </w:pPr>
      <w:r>
        <w:rPr/>
      </w:r>
    </w:p>
    <w:p>
      <w:pPr>
        <w:pStyle w:val="Normal"/>
        <w:jc w:val="center"/>
        <w:rPr>
          <w:u w:val="single"/>
        </w:rPr>
      </w:pPr>
      <w:r>
        <w:rPr>
          <w:u w:val="single"/>
        </w:rPr>
        <w:t>DATED                                                                                                2001</w:t>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u w:val="single"/>
        </w:rPr>
      </w:pPr>
      <w:r>
        <w:rPr>
          <w:u w:val="single"/>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Header"/>
        <w:tabs>
          <w:tab w:val="clear" w:pos="4536"/>
          <w:tab w:val="clear" w:pos="9072"/>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Header"/>
        <w:tabs>
          <w:tab w:val="clear" w:pos="4536"/>
          <w:tab w:val="clear" w:pos="9072"/>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Header"/>
        <w:tabs>
          <w:tab w:val="clear" w:pos="4536"/>
          <w:tab w:val="clear" w:pos="9072"/>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Header"/>
        <w:tabs>
          <w:tab w:val="clear" w:pos="4536"/>
          <w:tab w:val="clear" w:pos="9072"/>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jc w:val="center"/>
        <w:rPr>
          <w:b/>
          <w:smallCaps/>
        </w:rPr>
      </w:pPr>
      <w:r>
        <w:rPr>
          <w:b/>
          <w:smallCaps/>
        </w:rPr>
        <w:t>Enron Capital &amp; Trade Resources Limited</w:t>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b/>
          <w:smallCaps/>
        </w:rPr>
      </w:pPr>
      <w:r>
        <w:rPr>
          <w:b/>
          <w:smallCaps/>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clear" w:pos="709"/>
          <w:tab w:val="center" w:pos="4535" w:leader="none"/>
          <w:tab w:val="left" w:pos="4964" w:leader="none"/>
          <w:tab w:val="left" w:pos="5673" w:leader="none"/>
          <w:tab w:val="left" w:pos="6382" w:leader="none"/>
          <w:tab w:val="left" w:pos="7092" w:leader="none"/>
          <w:tab w:val="left" w:pos="7801" w:leader="none"/>
          <w:tab w:val="left" w:pos="8510" w:leader="none"/>
        </w:tabs>
        <w:jc w:val="center"/>
        <w:rPr/>
      </w:pPr>
      <w:r>
        <w:rPr/>
        <w:t>- and -</w:t>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jc w:val="center"/>
        <w:rPr/>
      </w:pPr>
      <w:r>
        <w:rPr/>
      </w:r>
    </w:p>
    <w:p>
      <w:pPr>
        <w:pStyle w:val="Normal"/>
        <w:jc w:val="center"/>
        <w:rPr>
          <w:b/>
          <w:smallCaps/>
        </w:rPr>
      </w:pPr>
      <w:r>
        <w:rPr>
          <w:rFonts w:eastAsia="Arial"/>
          <w:b/>
          <w:smallCaps/>
        </w:rPr>
        <w:t xml:space="preserve"> </w:t>
      </w:r>
      <w:r>
        <w:rPr>
          <w:b/>
          <w:smallCaps/>
        </w:rPr>
        <w:t>Morgan Stanley Capital Group Inc.</w:t>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b/>
          <w:smallCaps/>
        </w:rPr>
      </w:pPr>
      <w:r>
        <w:rPr>
          <w:b/>
          <w:smallCaps/>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clear" w:pos="709"/>
          <w:tab w:val="center" w:pos="4535" w:leader="none"/>
          <w:tab w:val="left" w:pos="4964" w:leader="none"/>
          <w:tab w:val="left" w:pos="5673" w:leader="none"/>
          <w:tab w:val="left" w:pos="6382" w:leader="none"/>
          <w:tab w:val="left" w:pos="7092" w:leader="none"/>
          <w:tab w:val="left" w:pos="7801" w:leader="none"/>
          <w:tab w:val="left" w:pos="8510" w:leader="none"/>
        </w:tabs>
        <w:jc w:val="center"/>
        <w:rPr>
          <w:b/>
        </w:rPr>
      </w:pPr>
      <w:r>
        <w:rPr>
          <w:b/>
        </w:rPr>
        <w:t>________________________________________________</w:t>
      </w:r>
    </w:p>
    <w:p>
      <w:pPr>
        <w:pStyle w:val="Normal"/>
        <w:numPr>
          <w:ilvl w:val="0"/>
          <w:numId w:val="0"/>
        </w:numPr>
        <w:spacing w:before="240" w:after="0"/>
        <w:jc w:val="center"/>
        <w:outlineLvl w:val="0"/>
        <w:rPr>
          <w:b/>
          <w:smallCaps/>
        </w:rPr>
      </w:pPr>
      <w:r>
        <w:rPr>
          <w:b/>
          <w:smallCaps/>
        </w:rPr>
        <w:t>Master Agreement for NBP Trades and Options</w:t>
      </w:r>
    </w:p>
    <w:p>
      <w:pPr>
        <w:pStyle w:val="Normal"/>
        <w:tabs>
          <w:tab w:val="clear" w:pos="709"/>
          <w:tab w:val="center" w:pos="4535" w:leader="none"/>
          <w:tab w:val="left" w:pos="4964" w:leader="none"/>
          <w:tab w:val="left" w:pos="5673" w:leader="none"/>
          <w:tab w:val="left" w:pos="6382" w:leader="none"/>
          <w:tab w:val="left" w:pos="7092" w:leader="none"/>
          <w:tab w:val="left" w:pos="7801" w:leader="none"/>
          <w:tab w:val="left" w:pos="8510" w:leader="none"/>
        </w:tabs>
        <w:jc w:val="center"/>
        <w:rPr>
          <w:b/>
        </w:rPr>
      </w:pPr>
      <w:r>
        <w:rPr>
          <w:b/>
        </w:rPr>
        <w:t>________________________________________________</w:t>
      </w:r>
    </w:p>
    <w:p>
      <w:pPr>
        <w:pStyle w:val="Normal"/>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tabs>
          <w:tab w:val="left" w:pos="0" w:leader="none"/>
          <w:tab w:val="left" w:pos="709" w:leader="none"/>
          <w:tab w:val="left" w:pos="1418" w:leader="none"/>
          <w:tab w:val="left" w:pos="2127" w:leader="none"/>
          <w:tab w:val="left" w:pos="2836" w:leader="none"/>
          <w:tab w:val="left" w:pos="3546" w:leader="none"/>
          <w:tab w:val="left" w:pos="4255" w:leader="none"/>
          <w:tab w:val="left" w:pos="4964" w:leader="none"/>
          <w:tab w:val="left" w:pos="5673" w:leader="none"/>
          <w:tab w:val="left" w:pos="6382" w:leader="none"/>
          <w:tab w:val="left" w:pos="7092" w:leader="none"/>
          <w:tab w:val="left" w:pos="7801" w:leader="none"/>
          <w:tab w:val="left" w:pos="8510" w:leader="none"/>
        </w:tabs>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Enron Europe Limited</w:t>
      </w:r>
    </w:p>
    <w:p>
      <w:pPr>
        <w:pStyle w:val="Normal"/>
        <w:jc w:val="center"/>
        <w:rPr/>
      </w:pPr>
      <w:r>
        <w:rPr/>
        <w:t>Enron House</w:t>
      </w:r>
    </w:p>
    <w:p>
      <w:pPr>
        <w:pStyle w:val="Normal"/>
        <w:jc w:val="center"/>
        <w:rPr/>
      </w:pPr>
      <w:r>
        <w:rPr/>
        <w:t>40 Grosvenor Place</w:t>
      </w:r>
    </w:p>
    <w:p>
      <w:pPr>
        <w:pStyle w:val="Normal"/>
        <w:jc w:val="center"/>
        <w:rPr/>
      </w:pPr>
      <w:r>
        <w:rPr/>
        <w:t>London</w:t>
      </w:r>
    </w:p>
    <w:p>
      <w:pPr>
        <w:pStyle w:val="Normal"/>
        <w:jc w:val="center"/>
        <w:rPr/>
      </w:pPr>
      <w:r>
        <w:rPr/>
        <w:t>SW1X 7EN</w:t>
      </w:r>
    </w:p>
    <w:p>
      <w:pPr>
        <w:sectPr>
          <w:headerReference w:type="default" r:id="rId2"/>
          <w:headerReference w:type="first" r:id="rId3"/>
          <w:footerReference w:type="default" r:id="rId4"/>
          <w:footerReference w:type="first" r:id="rId5"/>
          <w:type w:val="nextPage"/>
          <w:pgSz w:w="11906" w:h="16838"/>
          <w:pgMar w:left="1418" w:right="1418" w:gutter="0" w:header="397" w:top="851" w:footer="397" w:bottom="851"/>
          <w:pgNumType w:fmt="decimal"/>
          <w:formProt w:val="false"/>
          <w:titlePg/>
          <w:textDirection w:val="lrTb"/>
          <w:docGrid w:type="default" w:linePitch="360" w:charSpace="0"/>
        </w:sectPr>
        <w:pStyle w:val="Normal"/>
        <w:jc w:val="center"/>
        <w:rPr/>
      </w:pPr>
      <w:r>
        <w:rPr/>
      </w:r>
    </w:p>
    <w:p>
      <w:pPr>
        <w:pStyle w:val="Normal"/>
        <w:numPr>
          <w:ilvl w:val="0"/>
          <w:numId w:val="0"/>
        </w:numPr>
        <w:jc w:val="center"/>
        <w:outlineLvl w:val="0"/>
        <w:rPr>
          <w:b/>
          <w:smallCaps/>
        </w:rPr>
      </w:pPr>
      <w:r>
        <w:rPr>
          <w:b/>
          <w:smallCaps/>
        </w:rPr>
        <w:t>Contents</w:t>
      </w:r>
    </w:p>
    <w:p>
      <w:pPr>
        <w:pStyle w:val="Normal"/>
        <w:jc w:val="start"/>
        <w:rPr>
          <w:b/>
          <w:smallCaps/>
        </w:rPr>
      </w:pPr>
      <w:r>
        <w:rPr>
          <w:b/>
          <w:smallCaps/>
        </w:rPr>
      </w:r>
    </w:p>
    <w:p>
      <w:pPr>
        <w:pStyle w:val="Normal"/>
        <w:tabs>
          <w:tab w:val="clear" w:pos="709"/>
          <w:tab w:val="right" w:pos="9070" w:leader="none"/>
        </w:tabs>
        <w:jc w:val="start"/>
        <w:rPr>
          <w:b/>
          <w:smallCaps/>
        </w:rPr>
      </w:pPr>
      <w:r>
        <w:rPr>
          <w:b/>
          <w:smallCaps/>
        </w:rPr>
        <w:t>Clause</w:t>
        <w:tab/>
        <w:t>Page</w:t>
      </w:r>
    </w:p>
    <w:p>
      <w:pPr>
        <w:pStyle w:val="Normal"/>
        <w:tabs>
          <w:tab w:val="clear" w:pos="709"/>
          <w:tab w:val="right" w:pos="9070" w:leader="none"/>
        </w:tabs>
        <w:jc w:val="start"/>
        <w:rPr/>
      </w:pPr>
      <w:r>
        <w:rPr/>
      </w:r>
    </w:p>
    <w:sdt>
      <w:sdtPr>
        <w:docPartObj>
          <w:docPartGallery w:val="Table of Contents"/>
          <w:docPartUnique w:val="true"/>
        </w:docPartObj>
      </w:sdtPr>
      <w:sdtContent>
        <w:p>
          <w:pPr>
            <w:pStyle w:val="TOC1"/>
            <w:spacing w:lineRule="auto" w:line="360" w:before="0" w:after="120"/>
            <w:ind w:hanging="709" w:start="709" w:end="709"/>
            <w:rPr>
              <w:lang w:val="en-CA" w:eastAsia="en-CA"/>
            </w:rPr>
          </w:pPr>
          <w:r>
            <w:fldChar w:fldCharType="begin"/>
          </w:r>
          <w:r>
            <w:rPr>
              <w:lang w:val="en-CA" w:eastAsia="en-CA"/>
            </w:rPr>
            <w:instrText xml:space="preserve"> TOC \f \* MERGEFORMAT </w:instrText>
          </w:r>
          <w:r>
            <w:rPr>
              <w:lang w:val="en-CA" w:eastAsia="en-CA"/>
            </w:rPr>
            <w:fldChar w:fldCharType="separate"/>
          </w:r>
          <w:r>
            <w:rPr>
              <w:lang w:val="en-CA" w:eastAsia="en-CA"/>
            </w:rPr>
            <w:t>1.</w:t>
            <w:tab/>
          </w:r>
          <w:r>
            <w:rPr>
              <w:b/>
              <w:smallCaps/>
              <w:lang w:val="en-CA" w:eastAsia="en-CA"/>
            </w:rPr>
            <w:t>Definitions and Interpretation</w:t>
          </w:r>
          <w:r>
            <w:rPr>
              <w:lang w:val="en-CA" w:eastAsia="en-CA"/>
            </w:rPr>
            <w:tab/>
          </w:r>
          <w:hyperlink w:anchor="__RefHeading___Toc529165724">
            <w:r>
              <w:rPr>
                <w:rStyle w:val="IndexLink"/>
                <w:lang w:val="en-CA" w:eastAsia="en-CA"/>
              </w:rPr>
              <w:t>1</w:t>
            </w:r>
          </w:hyperlink>
        </w:p>
        <w:p>
          <w:pPr>
            <w:pStyle w:val="TOC1"/>
            <w:rPr/>
          </w:pPr>
          <w:r>
            <w:rPr/>
            <w:t>2.</w:t>
            <w:tab/>
          </w:r>
          <w:r>
            <w:rPr>
              <w:b/>
              <w:smallCaps/>
            </w:rPr>
            <w:t>Term</w:t>
          </w:r>
          <w:r>
            <w:rPr/>
            <w:tab/>
          </w:r>
          <w:hyperlink w:anchor="__RefHeading___Toc529165725">
            <w:r>
              <w:rPr>
                <w:rStyle w:val="IndexLink"/>
              </w:rPr>
              <w:t>4</w:t>
            </w:r>
          </w:hyperlink>
        </w:p>
        <w:p>
          <w:pPr>
            <w:pStyle w:val="TOC1"/>
            <w:rPr/>
          </w:pPr>
          <w:r>
            <w:rPr/>
            <w:t>3.</w:t>
            <w:tab/>
          </w:r>
          <w:r>
            <w:rPr>
              <w:b/>
              <w:smallCaps/>
            </w:rPr>
            <w:t>Transactions</w:t>
          </w:r>
          <w:r>
            <w:rPr/>
            <w:tab/>
          </w:r>
          <w:hyperlink w:anchor="__RefHeading___Toc529165726">
            <w:r>
              <w:rPr>
                <w:rStyle w:val="IndexLink"/>
              </w:rPr>
              <w:t>5</w:t>
            </w:r>
          </w:hyperlink>
        </w:p>
        <w:p>
          <w:pPr>
            <w:pStyle w:val="TOC1"/>
            <w:rPr/>
          </w:pPr>
          <w:r>
            <w:rPr/>
            <w:t>4.</w:t>
            <w:tab/>
          </w:r>
          <w:r>
            <w:rPr>
              <w:b/>
              <w:smallCaps/>
            </w:rPr>
            <w:t>NBP Trades – Application of NBP 97</w:t>
          </w:r>
          <w:r>
            <w:rPr/>
            <w:tab/>
          </w:r>
          <w:hyperlink w:anchor="__RefHeading___Toc529165727">
            <w:r>
              <w:rPr>
                <w:rStyle w:val="IndexLink"/>
              </w:rPr>
              <w:t>6</w:t>
            </w:r>
          </w:hyperlink>
        </w:p>
        <w:p>
          <w:pPr>
            <w:pStyle w:val="TOC1"/>
            <w:rPr/>
          </w:pPr>
          <w:r>
            <w:rPr/>
            <w:t>5.</w:t>
            <w:tab/>
          </w:r>
          <w:r>
            <w:rPr>
              <w:b/>
              <w:smallCaps/>
            </w:rPr>
            <w:t>Options</w:t>
          </w:r>
          <w:r>
            <w:rPr/>
            <w:tab/>
          </w:r>
          <w:hyperlink w:anchor="__RefHeading___Toc529165728">
            <w:r>
              <w:rPr>
                <w:rStyle w:val="IndexLink"/>
              </w:rPr>
              <w:t>6</w:t>
            </w:r>
          </w:hyperlink>
        </w:p>
        <w:p>
          <w:pPr>
            <w:pStyle w:val="TOC1"/>
            <w:rPr/>
          </w:pPr>
          <w:r>
            <w:rPr/>
            <w:t>6.</w:t>
            <w:tab/>
          </w:r>
          <w:r>
            <w:rPr>
              <w:b/>
              <w:smallCaps/>
            </w:rPr>
            <w:t>Price, Billing and Payment</w:t>
          </w:r>
          <w:r>
            <w:rPr/>
            <w:tab/>
          </w:r>
          <w:hyperlink w:anchor="__RefHeading___Toc529165729">
            <w:r>
              <w:rPr>
                <w:rStyle w:val="IndexLink"/>
              </w:rPr>
              <w:t>7</w:t>
            </w:r>
          </w:hyperlink>
        </w:p>
        <w:p>
          <w:pPr>
            <w:pStyle w:val="TOC1"/>
            <w:rPr/>
          </w:pPr>
          <w:r>
            <w:rPr/>
            <w:t>7.</w:t>
            <w:tab/>
          </w:r>
          <w:r>
            <w:rPr>
              <w:b/>
              <w:smallCaps/>
            </w:rPr>
            <w:t>Limitation on Force Majeure Relief</w:t>
          </w:r>
          <w:r>
            <w:rPr/>
            <w:tab/>
          </w:r>
          <w:hyperlink w:anchor="__RefHeading___Toc529165730">
            <w:r>
              <w:rPr>
                <w:rStyle w:val="IndexLink"/>
              </w:rPr>
              <w:t>9</w:t>
            </w:r>
          </w:hyperlink>
        </w:p>
        <w:p>
          <w:pPr>
            <w:pStyle w:val="TOC1"/>
            <w:rPr/>
          </w:pPr>
          <w:r>
            <w:rPr/>
            <w:t>8.</w:t>
            <w:tab/>
          </w:r>
          <w:r>
            <w:rPr>
              <w:b/>
              <w:smallCaps/>
            </w:rPr>
            <w:t>Credit, Suspension and Termination</w:t>
          </w:r>
          <w:r>
            <w:rPr/>
            <w:tab/>
          </w:r>
          <w:hyperlink w:anchor="__RefHeading___Toc529165731">
            <w:r>
              <w:rPr>
                <w:rStyle w:val="IndexLink"/>
              </w:rPr>
              <w:t>9</w:t>
            </w:r>
          </w:hyperlink>
        </w:p>
        <w:p>
          <w:pPr>
            <w:pStyle w:val="TOC1"/>
            <w:rPr/>
          </w:pPr>
          <w:r>
            <w:rPr/>
            <w:t>9.</w:t>
            <w:tab/>
          </w:r>
          <w:r>
            <w:rPr>
              <w:b/>
              <w:smallCaps/>
            </w:rPr>
            <w:t>Parties to Co-operate, etc</w:t>
          </w:r>
          <w:r>
            <w:rPr/>
            <w:tab/>
          </w:r>
          <w:hyperlink w:anchor="__RefHeading___Toc529165732">
            <w:r>
              <w:rPr>
                <w:rStyle w:val="IndexLink"/>
              </w:rPr>
              <w:t>9</w:t>
            </w:r>
          </w:hyperlink>
        </w:p>
        <w:p>
          <w:pPr>
            <w:pStyle w:val="TOC1"/>
            <w:rPr/>
          </w:pPr>
          <w:r>
            <w:rPr/>
            <w:t>10.</w:t>
            <w:tab/>
          </w:r>
          <w:r>
            <w:rPr>
              <w:b/>
              <w:smallCaps/>
            </w:rPr>
            <w:t xml:space="preserve">Changes to Network Code </w:t>
          </w:r>
          <w:r>
            <w:rPr/>
            <w:tab/>
          </w:r>
          <w:hyperlink w:anchor="__RefHeading___Toc529165733">
            <w:r>
              <w:rPr>
                <w:rStyle w:val="IndexLink"/>
              </w:rPr>
              <w:t>9</w:t>
            </w:r>
          </w:hyperlink>
        </w:p>
        <w:p>
          <w:pPr>
            <w:pStyle w:val="TOC1"/>
            <w:rPr/>
          </w:pPr>
          <w:r>
            <w:rPr/>
            <w:t>11.</w:t>
            <w:tab/>
          </w:r>
          <w:r>
            <w:rPr>
              <w:b/>
              <w:smallCaps/>
            </w:rPr>
            <w:t>Expert</w:t>
          </w:r>
          <w:r>
            <w:rPr/>
            <w:tab/>
          </w:r>
          <w:hyperlink w:anchor="__RefHeading___Toc529165734">
            <w:r>
              <w:rPr>
                <w:rStyle w:val="IndexLink"/>
              </w:rPr>
              <w:t>10</w:t>
            </w:r>
          </w:hyperlink>
        </w:p>
        <w:p>
          <w:pPr>
            <w:pStyle w:val="TOC1"/>
            <w:rPr/>
          </w:pPr>
          <w:r>
            <w:rPr/>
            <w:t>12.</w:t>
            <w:tab/>
          </w:r>
          <w:r>
            <w:rPr>
              <w:b/>
              <w:smallCaps/>
            </w:rPr>
            <w:t>Confidentiality</w:t>
          </w:r>
          <w:r>
            <w:rPr/>
            <w:tab/>
          </w:r>
          <w:hyperlink w:anchor="__RefHeading___Toc529165735">
            <w:r>
              <w:rPr>
                <w:rStyle w:val="IndexLink"/>
              </w:rPr>
              <w:t>10</w:t>
            </w:r>
          </w:hyperlink>
        </w:p>
        <w:p>
          <w:pPr>
            <w:pStyle w:val="TOC1"/>
            <w:rPr/>
          </w:pPr>
          <w:r>
            <w:rPr/>
            <w:t>13.</w:t>
            <w:tab/>
          </w:r>
          <w:r>
            <w:rPr>
              <w:b/>
              <w:smallCaps/>
            </w:rPr>
            <w:t>Assignment and Delegation</w:t>
          </w:r>
          <w:r>
            <w:rPr/>
            <w:tab/>
          </w:r>
          <w:hyperlink w:anchor="__RefHeading___Toc529165736">
            <w:r>
              <w:rPr>
                <w:rStyle w:val="IndexLink"/>
              </w:rPr>
              <w:t>11</w:t>
            </w:r>
          </w:hyperlink>
        </w:p>
        <w:p>
          <w:pPr>
            <w:pStyle w:val="TOC1"/>
            <w:rPr/>
          </w:pPr>
          <w:r>
            <w:rPr/>
            <w:t>14.</w:t>
            <w:tab/>
          </w:r>
          <w:r>
            <w:rPr>
              <w:b/>
              <w:smallCaps/>
            </w:rPr>
            <w:t>Miscellaneous</w:t>
          </w:r>
          <w:r>
            <w:rPr/>
            <w:tab/>
          </w:r>
          <w:hyperlink w:anchor="__RefHeading___Toc529165737">
            <w:r>
              <w:rPr>
                <w:rStyle w:val="IndexLink"/>
              </w:rPr>
              <w:t>11</w:t>
            </w:r>
          </w:hyperlink>
        </w:p>
        <w:p>
          <w:pPr>
            <w:pStyle w:val="TOC1"/>
            <w:rPr/>
          </w:pPr>
          <w:r>
            <w:rPr/>
            <w:t>15.</w:t>
            <w:tab/>
          </w:r>
          <w:r>
            <w:rPr>
              <w:b/>
              <w:smallCaps/>
            </w:rPr>
            <w:t>Governing Law</w:t>
          </w:r>
          <w:r>
            <w:rPr/>
            <w:tab/>
          </w:r>
          <w:hyperlink w:anchor="__RefHeading___Toc529165738">
            <w:r>
              <w:rPr>
                <w:rStyle w:val="IndexLink"/>
              </w:rPr>
              <w:t>11</w:t>
            </w:r>
          </w:hyperlink>
        </w:p>
        <w:p>
          <w:pPr>
            <w:pStyle w:val="TOC1"/>
            <w:tabs>
              <w:tab w:val="left" w:pos="709" w:leader="none"/>
              <w:tab w:val="left" w:pos="1418" w:leader="none"/>
              <w:tab w:val="right" w:pos="9072" w:leader="none"/>
            </w:tabs>
            <w:rPr/>
          </w:pPr>
          <w:r>
            <w:rPr>
              <w:b/>
              <w:smallCaps/>
            </w:rPr>
            <w:t>Schedule 1</w:t>
          </w:r>
          <w:r>
            <w:rPr/>
            <w:tab/>
          </w:r>
          <w:r>
            <w:rPr>
              <w:b/>
              <w:smallCaps/>
            </w:rPr>
            <w:t>Form of Confirmation</w:t>
          </w:r>
          <w:r>
            <w:rPr/>
            <w:tab/>
          </w:r>
          <w:hyperlink w:anchor="__RefHeading___Toc529165739">
            <w:r>
              <w:rPr>
                <w:rStyle w:val="IndexLink"/>
              </w:rPr>
              <w:t>12</w:t>
            </w:r>
          </w:hyperlink>
        </w:p>
        <w:p>
          <w:pPr>
            <w:pStyle w:val="TOC1"/>
            <w:tabs>
              <w:tab w:val="left" w:pos="709" w:leader="none"/>
              <w:tab w:val="left" w:pos="1418" w:leader="none"/>
              <w:tab w:val="right" w:pos="9072" w:leader="none"/>
            </w:tabs>
            <w:rPr/>
          </w:pPr>
          <w:r>
            <w:rPr>
              <w:b/>
              <w:smallCaps/>
            </w:rPr>
            <w:t>Schedule 2</w:t>
          </w:r>
          <w:r>
            <w:rPr/>
            <w:tab/>
          </w:r>
          <w:r>
            <w:rPr>
              <w:b/>
              <w:smallCaps/>
            </w:rPr>
            <w:t>Agreement Information</w:t>
          </w:r>
          <w:r>
            <w:rPr/>
            <w:tab/>
          </w:r>
          <w:hyperlink w:anchor="__RefHeading___Toc529165740">
            <w:r>
              <w:rPr>
                <w:rStyle w:val="IndexLink"/>
              </w:rPr>
              <w:t>14</w:t>
            </w:r>
          </w:hyperlink>
        </w:p>
        <w:p>
          <w:pPr>
            <w:pStyle w:val="TOC1"/>
            <w:tabs>
              <w:tab w:val="left" w:pos="709" w:leader="none"/>
              <w:tab w:val="left" w:pos="1418" w:leader="none"/>
              <w:tab w:val="right" w:pos="9072" w:leader="none"/>
            </w:tabs>
            <w:rPr/>
          </w:pPr>
          <w:r>
            <w:rPr>
              <w:b/>
              <w:smallCaps/>
            </w:rPr>
            <w:t>Schedule 3</w:t>
          </w:r>
          <w:r>
            <w:rPr/>
            <w:tab/>
          </w:r>
          <w:r>
            <w:rPr>
              <w:b/>
              <w:smallCaps/>
            </w:rPr>
            <w:t>tax provisions</w:t>
          </w:r>
          <w:r>
            <w:rPr/>
            <w:tab/>
          </w:r>
          <w:hyperlink w:anchor="__RefHeading___Toc529165741">
            <w:r>
              <w:rPr>
                <w:rStyle w:val="IndexLink"/>
              </w:rPr>
              <w:t>16</w:t>
            </w:r>
          </w:hyperlink>
        </w:p>
        <w:p>
          <w:pPr>
            <w:pStyle w:val="TOC1"/>
            <w:tabs>
              <w:tab w:val="left" w:pos="709" w:leader="none"/>
              <w:tab w:val="left" w:pos="1418" w:leader="none"/>
              <w:tab w:val="right" w:pos="9072" w:leader="none"/>
            </w:tabs>
            <w:rPr/>
          </w:pPr>
          <w:r>
            <w:rPr>
              <w:b/>
              <w:smallCaps/>
            </w:rPr>
            <w:t>Schedule 4</w:t>
          </w:r>
          <w:r>
            <w:rPr/>
            <w:tab/>
          </w:r>
          <w:r>
            <w:rPr>
              <w:b/>
              <w:smallCaps/>
            </w:rPr>
            <w:t>Credit, Suspension and Termination Provisions</w:t>
          </w:r>
          <w:r>
            <w:rPr/>
            <w:tab/>
          </w:r>
          <w:hyperlink w:anchor="__RefHeading___Toc529165742">
            <w:r>
              <w:rPr>
                <w:rStyle w:val="IndexLink"/>
              </w:rPr>
              <w:t>18</w:t>
            </w:r>
          </w:hyperlink>
        </w:p>
        <w:p>
          <w:pPr>
            <w:pStyle w:val="TOC1"/>
            <w:tabs>
              <w:tab w:val="left" w:pos="709" w:leader="none"/>
              <w:tab w:val="left" w:pos="1418" w:leader="none"/>
              <w:tab w:val="right" w:pos="9072" w:leader="none"/>
            </w:tabs>
            <w:rPr/>
          </w:pPr>
          <w:r>
            <w:rPr>
              <w:b/>
              <w:smallCaps/>
            </w:rPr>
            <w:t>Schedule 5</w:t>
          </w:r>
          <w:r>
            <w:rPr/>
            <w:tab/>
          </w:r>
          <w:r>
            <w:rPr>
              <w:b/>
              <w:smallCaps/>
            </w:rPr>
            <w:t>representations and warranties</w:t>
          </w:r>
          <w:r>
            <w:rPr/>
            <w:tab/>
          </w:r>
          <w:hyperlink w:anchor="__RefHeading___Toc529165743">
            <w:r>
              <w:rPr>
                <w:rStyle w:val="IndexLink"/>
              </w:rPr>
              <w:t>25</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1906" w:h="16838"/>
          <w:pgMar w:left="1418" w:right="1418" w:gutter="0" w:header="397" w:top="737" w:footer="397" w:bottom="737"/>
          <w:pgNumType w:start="1" w:fmt="lowerRoman"/>
          <w:formProt w:val="false"/>
          <w:titlePg/>
          <w:textDirection w:val="lrTb"/>
          <w:docGrid w:type="default" w:linePitch="360" w:charSpace="0"/>
        </w:sectPr>
        <w:pStyle w:val="TOC1"/>
        <w:tabs>
          <w:tab w:val="left" w:pos="709" w:leader="none"/>
          <w:tab w:val="left" w:pos="1418" w:leader="none"/>
          <w:tab w:val="right" w:pos="9072" w:leader="none"/>
        </w:tabs>
        <w:rPr/>
      </w:pPr>
      <w:r>
        <w:rPr/>
      </w:r>
    </w:p>
    <w:p>
      <w:pPr>
        <w:pStyle w:val="Normal"/>
        <w:numPr>
          <w:ilvl w:val="0"/>
          <w:numId w:val="0"/>
        </w:numPr>
        <w:tabs>
          <w:tab w:val="clear" w:pos="709"/>
          <w:tab w:val="right" w:pos="9070" w:leader="none"/>
        </w:tabs>
        <w:jc w:val="center"/>
        <w:outlineLvl w:val="0"/>
        <w:rPr>
          <w:b/>
          <w:smallCaps/>
        </w:rPr>
      </w:pPr>
      <w:r>
        <w:rPr>
          <w:b/>
          <w:smallCaps/>
        </w:rPr>
        <w:t>Master Agreement for NBP Trades and Options</w:t>
      </w:r>
    </w:p>
    <w:p>
      <w:pPr>
        <w:pStyle w:val="Normal"/>
        <w:tabs>
          <w:tab w:val="clear" w:pos="709"/>
          <w:tab w:val="right" w:pos="9070" w:leader="none"/>
        </w:tabs>
        <w:jc w:val="start"/>
        <w:rPr>
          <w:b/>
          <w:smallCaps/>
        </w:rPr>
      </w:pPr>
      <w:r>
        <w:rPr>
          <w:b/>
          <w:smallCaps/>
        </w:rPr>
      </w:r>
    </w:p>
    <w:p>
      <w:pPr>
        <w:pStyle w:val="Normal"/>
        <w:tabs>
          <w:tab w:val="clear" w:pos="709"/>
          <w:tab w:val="right" w:pos="9070" w:leader="none"/>
        </w:tabs>
        <w:jc w:val="start"/>
        <w:rPr>
          <w:b/>
          <w:smallCaps/>
        </w:rPr>
      </w:pPr>
      <w:r>
        <w:rPr>
          <w:b/>
          <w:smallCaps/>
        </w:rPr>
      </w:r>
    </w:p>
    <w:p>
      <w:pPr>
        <w:pStyle w:val="Normal"/>
        <w:tabs>
          <w:tab w:val="clear" w:pos="709"/>
          <w:tab w:val="left" w:pos="6521" w:leader="none"/>
        </w:tabs>
        <w:jc w:val="start"/>
        <w:rPr/>
      </w:pPr>
      <w:r>
        <w:rPr>
          <w:b/>
          <w:smallCaps/>
        </w:rPr>
        <w:t>This Master Agreement</w:t>
      </w:r>
      <w:r>
        <w:rPr/>
        <w:t xml:space="preserve"> is made on </w:t>
        <w:tab/>
        <w:t>2001</w:t>
      </w:r>
    </w:p>
    <w:p>
      <w:pPr>
        <w:pStyle w:val="Normal"/>
        <w:tabs>
          <w:tab w:val="clear" w:pos="709"/>
          <w:tab w:val="left" w:pos="6521" w:leader="none"/>
        </w:tabs>
        <w:jc w:val="start"/>
        <w:rPr/>
      </w:pPr>
      <w:r>
        <w:rPr/>
      </w:r>
    </w:p>
    <w:p>
      <w:pPr>
        <w:pStyle w:val="Normal"/>
        <w:tabs>
          <w:tab w:val="clear" w:pos="709"/>
          <w:tab w:val="left" w:pos="6521" w:leader="none"/>
        </w:tabs>
        <w:jc w:val="start"/>
        <w:rPr/>
      </w:pPr>
      <w:r>
        <w:rPr/>
      </w:r>
    </w:p>
    <w:p>
      <w:pPr>
        <w:pStyle w:val="Normal"/>
        <w:numPr>
          <w:ilvl w:val="0"/>
          <w:numId w:val="0"/>
        </w:numPr>
        <w:tabs>
          <w:tab w:val="clear" w:pos="709"/>
          <w:tab w:val="left" w:pos="6521" w:leader="none"/>
        </w:tabs>
        <w:jc w:val="start"/>
        <w:outlineLvl w:val="0"/>
        <w:rPr>
          <w:b/>
          <w:smallCaps/>
        </w:rPr>
      </w:pPr>
      <w:r>
        <w:rPr>
          <w:b/>
          <w:smallCaps/>
        </w:rPr>
        <w:t>Between:</w:t>
      </w:r>
    </w:p>
    <w:p>
      <w:pPr>
        <w:pStyle w:val="Normal"/>
        <w:tabs>
          <w:tab w:val="clear" w:pos="709"/>
          <w:tab w:val="left" w:pos="6521" w:leader="none"/>
        </w:tabs>
        <w:jc w:val="start"/>
        <w:rPr/>
      </w:pPr>
      <w:r>
        <w:rPr/>
      </w:r>
    </w:p>
    <w:p>
      <w:pPr>
        <w:pStyle w:val="Level1"/>
        <w:numPr>
          <w:ilvl w:val="0"/>
          <w:numId w:val="12"/>
        </w:numPr>
        <w:ind w:hanging="0" w:start="0"/>
        <w:rPr/>
      </w:pPr>
      <w:r>
        <w:rPr>
          <w:b/>
        </w:rPr>
        <w:t>Enron Capital &amp; Trade Resources Limited</w:t>
      </w:r>
      <w:r>
        <w:rPr/>
        <w:t xml:space="preserve"> (registered in England, number 2415924) whose registered office is at Enron House, 40 Grosvenor Place, London SW1X 7EN ("Enron"); and</w:t>
      </w:r>
    </w:p>
    <w:p>
      <w:pPr>
        <w:pStyle w:val="Level1"/>
        <w:numPr>
          <w:ilvl w:val="0"/>
          <w:numId w:val="12"/>
        </w:numPr>
        <w:spacing w:before="0" w:after="0"/>
        <w:ind w:hanging="0" w:start="0"/>
        <w:rPr/>
      </w:pPr>
      <w:r>
        <w:rPr>
          <w:b/>
        </w:rPr>
        <w:t xml:space="preserve">Morgan Stanley Capital Group Inc. </w:t>
      </w:r>
      <w:r>
        <w:rPr/>
        <w:t>a corporation incorporated in  the State of Delaware, United States, whose registered address is 1585 Broadway, New York, NY10036 ("Counterparty").</w:t>
      </w:r>
    </w:p>
    <w:p>
      <w:pPr>
        <w:pStyle w:val="Normal"/>
        <w:rPr/>
      </w:pPr>
      <w:r>
        <w:rPr/>
      </w:r>
    </w:p>
    <w:p>
      <w:pPr>
        <w:pStyle w:val="Normal"/>
        <w:rPr/>
      </w:pPr>
      <w:r>
        <w:rPr/>
      </w:r>
    </w:p>
    <w:p>
      <w:pPr>
        <w:pStyle w:val="Normal"/>
        <w:numPr>
          <w:ilvl w:val="0"/>
          <w:numId w:val="0"/>
        </w:numPr>
        <w:outlineLvl w:val="0"/>
        <w:rPr>
          <w:b/>
          <w:smallCaps/>
        </w:rPr>
      </w:pPr>
      <w:r>
        <w:rPr>
          <w:b/>
          <w:smallCaps/>
        </w:rPr>
        <w:t>Whereas:</w:t>
      </w:r>
    </w:p>
    <w:p>
      <w:pPr>
        <w:pStyle w:val="Normal"/>
        <w:rPr/>
      </w:pPr>
      <w:r>
        <w:rPr/>
      </w:r>
    </w:p>
    <w:p>
      <w:pPr>
        <w:pStyle w:val="Body1"/>
        <w:ind w:hanging="709" w:start="709" w:end="0"/>
        <w:rPr/>
      </w:pPr>
      <w:r>
        <w:rPr/>
        <w:t>(A)</w:t>
        <w:tab/>
        <w:t>This Master Agreement sets out the terms which Enron and Counterparty have agreed will apply to Transactions between them for NBP Trades and Options in relation to NBP Trades.</w:t>
      </w:r>
    </w:p>
    <w:p>
      <w:pPr>
        <w:pStyle w:val="Level3"/>
        <w:ind w:hanging="709" w:start="709" w:end="0"/>
        <w:rPr/>
      </w:pPr>
      <w:r>
        <w:rPr/>
        <w:t>(B)</w:t>
        <w:tab/>
        <w:t>Enron and Counterparty have agreed that in respect of any such Transaction the terms applicable to NBP Trades should be substantially based on the NBP 97 Trading Terms &amp; Conditions (short term, flat NBP),</w:t>
      </w:r>
    </w:p>
    <w:p>
      <w:pPr>
        <w:pStyle w:val="Body2"/>
        <w:rPr/>
      </w:pPr>
      <w:r>
        <w:rPr/>
        <w:t>as  amended and supplemented in this Agreement.</w:t>
      </w:r>
    </w:p>
    <w:p>
      <w:pPr>
        <w:pStyle w:val="Normal"/>
        <w:numPr>
          <w:ilvl w:val="0"/>
          <w:numId w:val="0"/>
        </w:numPr>
        <w:outlineLvl w:val="0"/>
        <w:rPr>
          <w:b/>
          <w:smallCaps/>
        </w:rPr>
      </w:pPr>
      <w:r>
        <w:rPr>
          <w:b/>
          <w:smallCaps/>
        </w:rPr>
      </w:r>
    </w:p>
    <w:p>
      <w:pPr>
        <w:pStyle w:val="Normal"/>
        <w:numPr>
          <w:ilvl w:val="0"/>
          <w:numId w:val="0"/>
        </w:numPr>
        <w:outlineLvl w:val="0"/>
        <w:rPr>
          <w:b/>
          <w:smallCaps/>
        </w:rPr>
      </w:pPr>
      <w:r>
        <w:rPr>
          <w:b/>
          <w:smallCaps/>
        </w:rPr>
        <w:t>It is agreed:</w:t>
      </w:r>
    </w:p>
    <w:p>
      <w:pPr>
        <w:pStyle w:val="Normal"/>
        <w:rPr/>
      </w:pPr>
      <w:r>
        <w:rPr/>
      </w:r>
    </w:p>
    <w:p>
      <w:pPr>
        <w:pStyle w:val="Level1"/>
        <w:numPr>
          <w:ilvl w:val="0"/>
          <w:numId w:val="17"/>
        </w:numPr>
        <w:ind w:hanging="0" w:start="0"/>
        <w:rPr>
          <w:rStyle w:val="Heading1Text"/>
        </w:rPr>
      </w:pPr>
      <w:r>
        <w:fldChar w:fldCharType="begin"/>
      </w:r>
      <w:r>
        <w:rPr/>
        <w:instrText xml:space="preserve"> TC "_x0013_ REF _Ref500577968 \r _x0014_1" \l 1 </w:instrText>
      </w:r>
      <w:r>
        <w:rPr/>
        <w:fldChar w:fldCharType="separate"/>
      </w:r>
      <w:r>
        <w:rPr/>
      </w:r>
      <w:r>
        <w:rPr/>
        <w:fldChar w:fldCharType="end"/>
      </w:r>
      <w:bookmarkStart w:id="0" w:name="__RefHeading___Toc529165724"/>
      <w:r>
        <w:rPr/>
        <w:fldChar w:fldCharType="begin"/>
      </w:r>
      <w:r>
        <w:rPr/>
        <w:instrText xml:space="preserve"> REF _Ref500577968 \r \r \h </w:instrText>
      </w:r>
      <w:r>
        <w:rPr/>
        <w:fldChar w:fldCharType="separate"/>
      </w:r>
      <w:r>
        <w:rPr/>
        <w:t>1</w:t>
      </w:r>
      <w:r>
        <w:rPr/>
        <w:fldChar w:fldCharType="end"/>
      </w:r>
      <w:bookmarkStart w:id="1" w:name="_Ref500577968"/>
      <w:bookmarkEnd w:id="0"/>
      <w:r>
        <w:rPr>
          <w:rFonts w:eastAsia="Arial"/>
          <w:b/>
          <w:smallCaps/>
        </w:rPr>
        <w:t xml:space="preserve"> </w:t>
      </w:r>
      <w:r>
        <w:rPr>
          <w:b/>
          <w:smallCaps/>
        </w:rPr>
        <w:t xml:space="preserve">Definitions and </w:t>
      </w:r>
      <w:r>
        <w:rPr>
          <w:rStyle w:val="Heading1Text"/>
        </w:rPr>
        <w:t>Interpretation</w:t>
      </w:r>
      <w:bookmarkEnd w:id="1"/>
    </w:p>
    <w:p>
      <w:pPr>
        <w:pStyle w:val="Level2"/>
        <w:numPr>
          <w:ilvl w:val="1"/>
          <w:numId w:val="12"/>
        </w:numPr>
        <w:ind w:hanging="0" w:start="709"/>
        <w:rPr/>
      </w:pPr>
      <w:r>
        <w:rPr/>
        <w:t>In this Agreement, unless otherwise provided, the following expressions have the following meanings:</w:t>
      </w:r>
    </w:p>
    <w:tbl>
      <w:tblPr>
        <w:tblW w:w="8611" w:type="dxa"/>
        <w:jc w:val="start"/>
        <w:tblInd w:w="675" w:type="dxa"/>
        <w:tblLayout w:type="fixed"/>
        <w:tblCellMar>
          <w:top w:w="0" w:type="dxa"/>
          <w:start w:w="108" w:type="dxa"/>
          <w:bottom w:w="0" w:type="dxa"/>
          <w:end w:w="108" w:type="dxa"/>
        </w:tblCellMar>
      </w:tblPr>
      <w:tblGrid>
        <w:gridCol w:w="3968"/>
        <w:gridCol w:w="4643"/>
      </w:tblGrid>
      <w:tr>
        <w:trPr/>
        <w:tc>
          <w:tcPr>
            <w:tcW w:w="3968" w:type="dxa"/>
            <w:tcBorders/>
          </w:tcPr>
          <w:p>
            <w:pPr>
              <w:pStyle w:val="Body2"/>
              <w:spacing w:before="0" w:after="210"/>
              <w:ind w:start="0" w:end="0"/>
              <w:rPr/>
            </w:pPr>
            <w:r>
              <w:rPr/>
              <w:t>"Affiliate"</w:t>
            </w:r>
          </w:p>
        </w:tc>
        <w:tc>
          <w:tcPr>
            <w:tcW w:w="4643" w:type="dxa"/>
            <w:tcBorders/>
          </w:tcPr>
          <w:p>
            <w:pPr>
              <w:pStyle w:val="Body2"/>
              <w:spacing w:before="0" w:after="210"/>
              <w:ind w:start="0" w:end="0"/>
              <w:rPr/>
            </w:pPr>
            <w:r>
              <w:rPr/>
              <w:t>means any holding company or subsidiary company of a Party or any company which is a subsidiary company of the holding company of a Party and the expressions “holding company” and “subsidiary” shall have the meanings respectively ascribed to them by section 736 Companies Act 1985, provided always that in respect of the Counterparty the term “Affiliate” shall not include Morgan Stanley Derivative Products Inc.;</w:t>
            </w:r>
          </w:p>
        </w:tc>
      </w:tr>
      <w:tr>
        <w:trPr/>
        <w:tc>
          <w:tcPr>
            <w:tcW w:w="3968" w:type="dxa"/>
            <w:tcBorders/>
          </w:tcPr>
          <w:p>
            <w:pPr>
              <w:pStyle w:val="Body2"/>
              <w:spacing w:before="0" w:after="210"/>
              <w:ind w:start="0" w:end="0"/>
              <w:rPr/>
            </w:pPr>
            <w:r>
              <w:rPr/>
              <w:t>“</w:t>
            </w:r>
            <w:r>
              <w:rPr/>
              <w:t>American Style Option”</w:t>
            </w:r>
          </w:p>
        </w:tc>
        <w:tc>
          <w:tcPr>
            <w:tcW w:w="4643" w:type="dxa"/>
            <w:tcBorders/>
          </w:tcPr>
          <w:p>
            <w:pPr>
              <w:pStyle w:val="Body2"/>
              <w:spacing w:before="0" w:after="210"/>
              <w:ind w:start="0" w:end="0"/>
              <w:rPr/>
            </w:pPr>
            <w:r>
              <w:rPr/>
              <w:t>means a style of Option which may be exercised during an Exercise Period that consists of more than one day;</w:t>
            </w:r>
          </w:p>
        </w:tc>
      </w:tr>
      <w:tr>
        <w:trPr/>
        <w:tc>
          <w:tcPr>
            <w:tcW w:w="3968" w:type="dxa"/>
            <w:tcBorders/>
          </w:tcPr>
          <w:p>
            <w:pPr>
              <w:pStyle w:val="Body2"/>
              <w:spacing w:before="0" w:after="210"/>
              <w:ind w:start="0" w:end="0"/>
              <w:rPr/>
            </w:pPr>
            <w:r>
              <w:rPr/>
              <w:t>"Banking Day"</w:t>
            </w:r>
          </w:p>
        </w:tc>
        <w:tc>
          <w:tcPr>
            <w:tcW w:w="4643" w:type="dxa"/>
            <w:tcBorders/>
          </w:tcPr>
          <w:p>
            <w:pPr>
              <w:pStyle w:val="Body2"/>
              <w:spacing w:before="0" w:after="210"/>
              <w:ind w:start="0" w:end="0"/>
              <w:rPr/>
            </w:pPr>
            <w:r>
              <w:rPr/>
              <w:t>a day (other than a Saturday or Sunday) on which the clearing banks in London are open for general business;</w:t>
            </w:r>
          </w:p>
        </w:tc>
      </w:tr>
      <w:tr>
        <w:trPr/>
        <w:tc>
          <w:tcPr>
            <w:tcW w:w="3968" w:type="dxa"/>
            <w:tcBorders/>
          </w:tcPr>
          <w:p>
            <w:pPr>
              <w:pStyle w:val="Body2"/>
              <w:spacing w:before="0" w:after="210"/>
              <w:ind w:start="0" w:end="0"/>
              <w:rPr/>
            </w:pPr>
            <w:r>
              <w:rPr/>
              <w:t>"Buyer"</w:t>
            </w:r>
          </w:p>
        </w:tc>
        <w:tc>
          <w:tcPr>
            <w:tcW w:w="4643" w:type="dxa"/>
            <w:tcBorders/>
          </w:tcPr>
          <w:p>
            <w:pPr>
              <w:pStyle w:val="Level3"/>
              <w:spacing w:before="0" w:after="210"/>
              <w:ind w:hanging="37" w:start="37" w:end="0"/>
              <w:rPr/>
            </w:pPr>
            <w:r>
              <w:rPr/>
              <w:t>Means the Party required to make Acquiring Trade Nominations;</w:t>
            </w:r>
          </w:p>
        </w:tc>
      </w:tr>
      <w:tr>
        <w:trPr/>
        <w:tc>
          <w:tcPr>
            <w:tcW w:w="3968" w:type="dxa"/>
            <w:tcBorders/>
          </w:tcPr>
          <w:p>
            <w:pPr>
              <w:pStyle w:val="Body2"/>
              <w:spacing w:before="0" w:after="210"/>
              <w:ind w:start="0" w:end="0"/>
              <w:rPr/>
            </w:pPr>
            <w:r>
              <w:rPr/>
              <w:t>"Climate Change Levy"</w:t>
            </w:r>
          </w:p>
        </w:tc>
        <w:tc>
          <w:tcPr>
            <w:tcW w:w="4643" w:type="dxa"/>
            <w:tcBorders/>
          </w:tcPr>
          <w:p>
            <w:pPr>
              <w:pStyle w:val="Body2"/>
              <w:spacing w:before="0" w:after="210"/>
              <w:ind w:start="0" w:end="0"/>
              <w:rPr/>
            </w:pPr>
            <w:r>
              <w:rPr/>
              <w:t>has the meaning given to that expression in Schedule 3;</w:t>
            </w:r>
          </w:p>
        </w:tc>
      </w:tr>
      <w:tr>
        <w:trPr/>
        <w:tc>
          <w:tcPr>
            <w:tcW w:w="3968" w:type="dxa"/>
            <w:tcBorders/>
          </w:tcPr>
          <w:p>
            <w:pPr>
              <w:pStyle w:val="Body2"/>
              <w:spacing w:before="0" w:after="210"/>
              <w:ind w:start="0" w:end="0"/>
              <w:rPr/>
            </w:pPr>
            <w:r>
              <w:rPr/>
              <w:t>"Confirmation"</w:t>
            </w:r>
          </w:p>
        </w:tc>
        <w:tc>
          <w:tcPr>
            <w:tcW w:w="4643" w:type="dxa"/>
            <w:tcBorders/>
          </w:tcPr>
          <w:p>
            <w:pPr>
              <w:pStyle w:val="Header"/>
              <w:tabs>
                <w:tab w:val="clear" w:pos="4536"/>
                <w:tab w:val="clear" w:pos="9072"/>
              </w:tabs>
              <w:spacing w:before="0" w:after="210"/>
              <w:rPr/>
            </w:pPr>
            <w:r>
              <w:rPr/>
              <w:t>a statement which sets out details relating to a Transaction, in such  form as the Parties may agree;</w:t>
            </w:r>
          </w:p>
        </w:tc>
      </w:tr>
      <w:tr>
        <w:trPr/>
        <w:tc>
          <w:tcPr>
            <w:tcW w:w="3968" w:type="dxa"/>
            <w:tcBorders/>
          </w:tcPr>
          <w:p>
            <w:pPr>
              <w:pStyle w:val="Body2"/>
              <w:spacing w:before="0" w:after="210"/>
              <w:ind w:start="0" w:end="0"/>
              <w:rPr/>
            </w:pPr>
            <w:r>
              <w:rPr/>
              <w:t>"Contract Price"</w:t>
            </w:r>
          </w:p>
        </w:tc>
        <w:tc>
          <w:tcPr>
            <w:tcW w:w="4643" w:type="dxa"/>
            <w:tcBorders/>
          </w:tcPr>
          <w:p>
            <w:pPr>
              <w:pStyle w:val="Body2"/>
              <w:spacing w:before="0" w:after="210"/>
              <w:ind w:start="0" w:end="0"/>
              <w:rPr/>
            </w:pPr>
            <w:r>
              <w:rPr/>
              <w:t>in respect of a Transaction, the price agreed as such when the Transaction is entered into;</w:t>
            </w:r>
          </w:p>
        </w:tc>
      </w:tr>
      <w:tr>
        <w:trPr/>
        <w:tc>
          <w:tcPr>
            <w:tcW w:w="3968" w:type="dxa"/>
            <w:tcBorders/>
          </w:tcPr>
          <w:p>
            <w:pPr>
              <w:pStyle w:val="Body2"/>
              <w:spacing w:before="0" w:after="210"/>
              <w:ind w:start="0" w:end="0"/>
              <w:rPr/>
            </w:pPr>
            <w:r>
              <w:rPr/>
              <w:t>“</w:t>
            </w:r>
            <w:r>
              <w:rPr/>
              <w:t>Credit Cover”</w:t>
            </w:r>
          </w:p>
        </w:tc>
        <w:tc>
          <w:tcPr>
            <w:tcW w:w="4643" w:type="dxa"/>
            <w:tcBorders/>
          </w:tcPr>
          <w:p>
            <w:pPr>
              <w:pStyle w:val="Body2"/>
              <w:spacing w:before="0" w:after="210"/>
              <w:ind w:start="0" w:end="0"/>
              <w:rPr/>
            </w:pPr>
            <w:r>
              <w:rPr/>
              <w:t>a cash pre-payment, an irrevocable standby letter of credit, a guarantee agreement, and/or other security, all in a form and amount acceptable to the Requesting Party in its  discretion reasonably exercised;</w:t>
            </w:r>
          </w:p>
        </w:tc>
      </w:tr>
      <w:tr>
        <w:trPr/>
        <w:tc>
          <w:tcPr>
            <w:tcW w:w="3968" w:type="dxa"/>
            <w:tcBorders/>
          </w:tcPr>
          <w:p>
            <w:pPr>
              <w:pStyle w:val="Body2"/>
              <w:spacing w:before="0" w:after="210"/>
              <w:ind w:start="0" w:end="0"/>
              <w:rPr/>
            </w:pPr>
            <w:r>
              <w:rPr/>
              <w:t>"Daily Quantity"</w:t>
            </w:r>
          </w:p>
        </w:tc>
        <w:tc>
          <w:tcPr>
            <w:tcW w:w="4643" w:type="dxa"/>
            <w:tcBorders/>
          </w:tcPr>
          <w:p>
            <w:pPr>
              <w:pStyle w:val="Level3"/>
              <w:spacing w:before="0" w:after="210"/>
              <w:ind w:hanging="37" w:start="37" w:end="0"/>
              <w:rPr/>
            </w:pPr>
            <w:r>
              <w:rPr/>
              <w:t>in respect of a Transaction, for any Day in the Supply Period, the quantity agreed as such when the Transaction is entered into;</w:t>
            </w:r>
          </w:p>
        </w:tc>
      </w:tr>
      <w:tr>
        <w:trPr/>
        <w:tc>
          <w:tcPr>
            <w:tcW w:w="3968" w:type="dxa"/>
            <w:tcBorders/>
          </w:tcPr>
          <w:p>
            <w:pPr>
              <w:pStyle w:val="Body2"/>
              <w:spacing w:before="0" w:after="210"/>
              <w:ind w:start="0" w:end="0"/>
              <w:rPr/>
            </w:pPr>
            <w:r>
              <w:rPr/>
              <w:t>"Day"</w:t>
            </w:r>
          </w:p>
        </w:tc>
        <w:tc>
          <w:tcPr>
            <w:tcW w:w="4643" w:type="dxa"/>
            <w:tcBorders/>
          </w:tcPr>
          <w:p>
            <w:pPr>
              <w:pStyle w:val="Body2"/>
              <w:spacing w:before="0" w:after="210"/>
              <w:ind w:start="0" w:end="0"/>
              <w:rPr/>
            </w:pPr>
            <w:r>
              <w:rPr/>
              <w:t>a period commencing at 06:00 hours on any day and ending at 06:00 hours on the immediately following day;</w:t>
            </w:r>
          </w:p>
        </w:tc>
      </w:tr>
      <w:tr>
        <w:trPr/>
        <w:tc>
          <w:tcPr>
            <w:tcW w:w="3968" w:type="dxa"/>
            <w:tcBorders/>
          </w:tcPr>
          <w:p>
            <w:pPr>
              <w:pStyle w:val="Body2"/>
              <w:keepNext w:val="true"/>
              <w:spacing w:before="0" w:after="210"/>
              <w:ind w:start="0" w:end="0"/>
              <w:rPr/>
            </w:pPr>
            <w:r>
              <w:rPr/>
              <w:t>"Enron Website"</w:t>
            </w:r>
          </w:p>
        </w:tc>
        <w:tc>
          <w:tcPr>
            <w:tcW w:w="4643" w:type="dxa"/>
            <w:tcBorders/>
          </w:tcPr>
          <w:p>
            <w:pPr>
              <w:pStyle w:val="Body2"/>
              <w:keepNext w:val="true"/>
              <w:spacing w:before="0" w:after="210"/>
              <w:ind w:start="0" w:end="0"/>
              <w:rPr/>
            </w:pPr>
            <w:r>
              <w:rPr/>
              <w:t xml:space="preserve">the </w:t>
            </w:r>
            <w:hyperlink r:id="rId10">
              <w:r>
                <w:rPr>
                  <w:rStyle w:val="Hyperlink"/>
                </w:rPr>
                <w:t>www.enrononline.com</w:t>
              </w:r>
            </w:hyperlink>
            <w:r>
              <w:rPr/>
              <w:t xml:space="preserve"> website or any successor or replacement thereof;</w:t>
            </w:r>
          </w:p>
        </w:tc>
      </w:tr>
      <w:tr>
        <w:trPr/>
        <w:tc>
          <w:tcPr>
            <w:tcW w:w="3968" w:type="dxa"/>
            <w:tcBorders/>
          </w:tcPr>
          <w:p>
            <w:pPr>
              <w:pStyle w:val="Body2"/>
              <w:spacing w:before="0" w:after="210"/>
              <w:ind w:start="0" w:end="0"/>
              <w:rPr/>
            </w:pPr>
            <w:r>
              <w:rPr/>
              <w:t>“</w:t>
            </w:r>
            <w:r>
              <w:rPr/>
              <w:t>European Style Option”</w:t>
            </w:r>
          </w:p>
        </w:tc>
        <w:tc>
          <w:tcPr>
            <w:tcW w:w="4643" w:type="dxa"/>
            <w:tcBorders/>
          </w:tcPr>
          <w:p>
            <w:pPr>
              <w:pStyle w:val="Body2"/>
              <w:spacing w:before="0" w:after="210"/>
              <w:ind w:start="0" w:end="0"/>
              <w:rPr/>
            </w:pPr>
            <w:r>
              <w:rPr/>
              <w:t>means a style of Option which may be exercised only on the Expiration Date;</w:t>
            </w:r>
          </w:p>
        </w:tc>
      </w:tr>
      <w:tr>
        <w:trPr/>
        <w:tc>
          <w:tcPr>
            <w:tcW w:w="3968" w:type="dxa"/>
            <w:tcBorders/>
          </w:tcPr>
          <w:p>
            <w:pPr>
              <w:pStyle w:val="Body2"/>
              <w:spacing w:before="0" w:after="210"/>
              <w:ind w:start="0" w:end="0"/>
              <w:rPr/>
            </w:pPr>
            <w:r>
              <w:rPr/>
              <w:t>“</w:t>
            </w:r>
            <w:r>
              <w:rPr/>
              <w:t>Exercise Deadline”</w:t>
            </w:r>
          </w:p>
        </w:tc>
        <w:tc>
          <w:tcPr>
            <w:tcW w:w="4643" w:type="dxa"/>
            <w:tcBorders/>
          </w:tcPr>
          <w:p>
            <w:pPr>
              <w:pStyle w:val="Body2"/>
              <w:spacing w:before="0" w:after="210"/>
              <w:ind w:start="0" w:end="0"/>
              <w:rPr/>
            </w:pPr>
            <w:r>
              <w:rPr/>
              <w:t>means the latest time the Option may be exercised as specified in the Option Confirmation;</w:t>
            </w:r>
          </w:p>
        </w:tc>
      </w:tr>
      <w:tr>
        <w:trPr/>
        <w:tc>
          <w:tcPr>
            <w:tcW w:w="3968" w:type="dxa"/>
            <w:tcBorders/>
          </w:tcPr>
          <w:p>
            <w:pPr>
              <w:pStyle w:val="Body2"/>
              <w:spacing w:before="0" w:after="210"/>
              <w:ind w:start="0" w:end="0"/>
              <w:rPr/>
            </w:pPr>
            <w:r>
              <w:rPr/>
              <w:t>“</w:t>
            </w:r>
            <w:r>
              <w:rPr/>
              <w:t>Exercise Period”</w:t>
            </w:r>
          </w:p>
        </w:tc>
        <w:tc>
          <w:tcPr>
            <w:tcW w:w="4643" w:type="dxa"/>
            <w:tcBorders/>
          </w:tcPr>
          <w:p>
            <w:pPr>
              <w:pStyle w:val="Body2"/>
              <w:spacing w:before="0" w:after="210"/>
              <w:ind w:start="0" w:end="0"/>
              <w:rPr/>
            </w:pPr>
            <w:r>
              <w:rPr/>
              <w:t>means (i) in respect of a European Style Option, the one day period consisting of the Expiration Date; and (ii) in respect of an American Style Option or any other Option, the period, or if more than one, the periods, specified in the Option Confirmation;</w:t>
            </w:r>
          </w:p>
        </w:tc>
      </w:tr>
      <w:tr>
        <w:trPr/>
        <w:tc>
          <w:tcPr>
            <w:tcW w:w="3968" w:type="dxa"/>
            <w:tcBorders/>
          </w:tcPr>
          <w:p>
            <w:pPr>
              <w:pStyle w:val="Body2"/>
              <w:spacing w:before="0" w:after="210"/>
              <w:ind w:start="0" w:end="0"/>
              <w:rPr/>
            </w:pPr>
            <w:r>
              <w:rPr/>
              <w:t>"Expert"</w:t>
            </w:r>
          </w:p>
        </w:tc>
        <w:tc>
          <w:tcPr>
            <w:tcW w:w="4643" w:type="dxa"/>
            <w:tcBorders/>
          </w:tcPr>
          <w:p>
            <w:pPr>
              <w:pStyle w:val="Body2"/>
              <w:spacing w:before="0" w:after="210"/>
              <w:ind w:start="0" w:end="0"/>
              <w:rPr/>
            </w:pPr>
            <w:r>
              <w:rPr/>
              <w:t>has the meaning given to that expression in clause 11.1;</w:t>
            </w:r>
          </w:p>
        </w:tc>
      </w:tr>
      <w:tr>
        <w:trPr/>
        <w:tc>
          <w:tcPr>
            <w:tcW w:w="3968" w:type="dxa"/>
            <w:tcBorders/>
          </w:tcPr>
          <w:p>
            <w:pPr>
              <w:pStyle w:val="Body2"/>
              <w:spacing w:before="0" w:after="210"/>
              <w:ind w:start="0" w:end="0"/>
              <w:rPr/>
            </w:pPr>
            <w:r>
              <w:rPr/>
              <w:t>“</w:t>
            </w:r>
            <w:r>
              <w:rPr/>
              <w:t>Expiration Date”</w:t>
            </w:r>
          </w:p>
        </w:tc>
        <w:tc>
          <w:tcPr>
            <w:tcW w:w="4643" w:type="dxa"/>
            <w:tcBorders/>
          </w:tcPr>
          <w:p>
            <w:pPr>
              <w:pStyle w:val="Body2"/>
              <w:spacing w:before="0" w:after="210"/>
              <w:ind w:start="0" w:end="0"/>
              <w:rPr/>
            </w:pPr>
            <w:r>
              <w:rPr/>
              <w:t>has the meaning specified in the Option Confirmation;</w:t>
            </w:r>
          </w:p>
        </w:tc>
      </w:tr>
      <w:tr>
        <w:trPr/>
        <w:tc>
          <w:tcPr>
            <w:tcW w:w="3968" w:type="dxa"/>
            <w:tcBorders/>
          </w:tcPr>
          <w:p>
            <w:pPr>
              <w:pStyle w:val="Body2"/>
              <w:spacing w:before="0" w:after="210"/>
              <w:ind w:start="0" w:end="0"/>
              <w:rPr/>
            </w:pPr>
            <w:r>
              <w:rPr/>
              <w:t>"Force Majeure"</w:t>
            </w:r>
          </w:p>
        </w:tc>
        <w:tc>
          <w:tcPr>
            <w:tcW w:w="4643" w:type="dxa"/>
            <w:tcBorders/>
          </w:tcPr>
          <w:p>
            <w:pPr>
              <w:pStyle w:val="Level3"/>
              <w:spacing w:before="0" w:after="210"/>
              <w:ind w:hanging="37" w:start="37" w:end="0"/>
              <w:rPr/>
            </w:pPr>
            <w:r>
              <w:rPr/>
              <w:t>has the meaning given to that expression in NBP 97;</w:t>
            </w:r>
          </w:p>
        </w:tc>
      </w:tr>
      <w:tr>
        <w:trPr/>
        <w:tc>
          <w:tcPr>
            <w:tcW w:w="3968" w:type="dxa"/>
            <w:tcBorders/>
          </w:tcPr>
          <w:p>
            <w:pPr>
              <w:pStyle w:val="Body2"/>
              <w:spacing w:before="0" w:after="210"/>
              <w:ind w:start="0" w:end="0"/>
              <w:rPr/>
            </w:pPr>
            <w:r>
              <w:rPr/>
              <w:t>"Hour"</w:t>
            </w:r>
          </w:p>
        </w:tc>
        <w:tc>
          <w:tcPr>
            <w:tcW w:w="4643" w:type="dxa"/>
            <w:tcBorders/>
          </w:tcPr>
          <w:p>
            <w:pPr>
              <w:pStyle w:val="Body2"/>
              <w:spacing w:before="0" w:after="210"/>
              <w:ind w:start="0" w:end="0"/>
              <w:rPr/>
            </w:pPr>
            <w:r>
              <w:rPr/>
              <w:t>a period of 60 minutes beginning on the hour;</w:t>
            </w:r>
          </w:p>
        </w:tc>
      </w:tr>
      <w:tr>
        <w:trPr/>
        <w:tc>
          <w:tcPr>
            <w:tcW w:w="3968" w:type="dxa"/>
            <w:tcBorders/>
          </w:tcPr>
          <w:p>
            <w:pPr>
              <w:pStyle w:val="Body2"/>
              <w:keepNext w:val="true"/>
              <w:spacing w:before="0" w:after="210"/>
              <w:ind w:start="0" w:end="0"/>
              <w:rPr/>
            </w:pPr>
            <w:r>
              <w:rPr/>
              <w:t>"Month"</w:t>
            </w:r>
          </w:p>
        </w:tc>
        <w:tc>
          <w:tcPr>
            <w:tcW w:w="4643" w:type="dxa"/>
            <w:tcBorders/>
          </w:tcPr>
          <w:p>
            <w:pPr>
              <w:pStyle w:val="Body2"/>
              <w:keepNext w:val="true"/>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"Moody's"</w:t>
            </w:r>
          </w:p>
        </w:tc>
        <w:tc>
          <w:tcPr>
            <w:tcW w:w="4643" w:type="dxa"/>
            <w:tcBorders/>
          </w:tcPr>
          <w:p>
            <w:pPr>
              <w:pStyle w:val="Body2"/>
              <w:spacing w:before="0" w:after="210"/>
              <w:ind w:start="0" w:end="0"/>
              <w:rPr/>
            </w:pPr>
            <w:r>
              <w:rPr/>
              <w:t>Moody's Investors Service Inc or its successor for the time being;</w:t>
            </w:r>
          </w:p>
        </w:tc>
      </w:tr>
      <w:tr>
        <w:trPr/>
        <w:tc>
          <w:tcPr>
            <w:tcW w:w="3968" w:type="dxa"/>
            <w:tcBorders/>
          </w:tcPr>
          <w:p>
            <w:pPr>
              <w:pStyle w:val="Body2"/>
              <w:snapToGrid w:val="false"/>
              <w:ind w:start="0" w:end="0"/>
              <w:rPr/>
            </w:pPr>
            <w:r>
              <w:rPr/>
            </w:r>
          </w:p>
          <w:p>
            <w:pPr>
              <w:pStyle w:val="Body2"/>
              <w:spacing w:before="0" w:after="210"/>
              <w:ind w:start="0" w:end="0"/>
              <w:rPr/>
            </w:pPr>
            <w:r>
              <w:rPr/>
              <w:t>"National Transmission System"</w:t>
            </w:r>
          </w:p>
        </w:tc>
        <w:tc>
          <w:tcPr>
            <w:tcW w:w="4643" w:type="dxa"/>
            <w:tcBorders/>
          </w:tcPr>
          <w:p>
            <w:pPr>
              <w:pStyle w:val="Body2"/>
              <w:snapToGrid w:val="false"/>
              <w:ind w:start="0" w:end="0"/>
              <w:rPr/>
            </w:pPr>
            <w:r>
              <w:rPr/>
            </w:r>
          </w:p>
          <w:p>
            <w:pPr>
              <w:pStyle w:val="Body2"/>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"Natural Gas"</w:t>
            </w:r>
          </w:p>
        </w:tc>
        <w:tc>
          <w:tcPr>
            <w:tcW w:w="4643" w:type="dxa"/>
            <w:tcBorders/>
          </w:tcPr>
          <w:p>
            <w:pPr>
              <w:pStyle w:val="Body2"/>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"NBP 97"</w:t>
            </w:r>
          </w:p>
        </w:tc>
        <w:tc>
          <w:tcPr>
            <w:tcW w:w="4643" w:type="dxa"/>
            <w:tcBorders/>
          </w:tcPr>
          <w:p>
            <w:pPr>
              <w:pStyle w:val="Body2"/>
              <w:spacing w:before="0" w:after="210"/>
              <w:ind w:start="0" w:end="0"/>
              <w:rPr/>
            </w:pPr>
            <w:r>
              <w:rPr/>
              <w:t>the standard trading terms and conditions, designated as such, for short term, flat NBP Trades, as published by BP Gas Marketing Limited (as current at the date of this Master Agreement);</w:t>
            </w:r>
          </w:p>
        </w:tc>
      </w:tr>
      <w:tr>
        <w:trPr/>
        <w:tc>
          <w:tcPr>
            <w:tcW w:w="3968" w:type="dxa"/>
            <w:tcBorders/>
          </w:tcPr>
          <w:p>
            <w:pPr>
              <w:pStyle w:val="Body2"/>
              <w:spacing w:before="0" w:after="210"/>
              <w:ind w:start="0" w:end="0"/>
              <w:rPr/>
            </w:pPr>
            <w:r>
              <w:rPr/>
              <w:t>"NBP Trade"</w:t>
            </w:r>
          </w:p>
        </w:tc>
        <w:tc>
          <w:tcPr>
            <w:tcW w:w="4643" w:type="dxa"/>
            <w:tcBorders/>
          </w:tcPr>
          <w:p>
            <w:pPr>
              <w:pStyle w:val="Body2"/>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"NBP Transaction"</w:t>
            </w:r>
          </w:p>
        </w:tc>
        <w:tc>
          <w:tcPr>
            <w:tcW w:w="4643" w:type="dxa"/>
            <w:tcBorders/>
          </w:tcPr>
          <w:p>
            <w:pPr>
              <w:pStyle w:val="Body2"/>
              <w:spacing w:before="0" w:after="210"/>
              <w:ind w:start="0" w:end="0"/>
              <w:rPr/>
            </w:pPr>
            <w:r>
              <w:rPr/>
              <w:t>has the meaning given to that expression in clause 3.2(a);</w:t>
            </w:r>
          </w:p>
        </w:tc>
      </w:tr>
      <w:tr>
        <w:trPr/>
        <w:tc>
          <w:tcPr>
            <w:tcW w:w="3968" w:type="dxa"/>
            <w:tcBorders/>
          </w:tcPr>
          <w:p>
            <w:pPr>
              <w:pStyle w:val="Body2"/>
              <w:keepNext w:val="true"/>
              <w:spacing w:before="0" w:after="210"/>
              <w:ind w:start="0" w:end="0"/>
              <w:rPr/>
            </w:pPr>
            <w:r>
              <w:rPr/>
              <w:t>"Network Code"</w:t>
            </w:r>
          </w:p>
        </w:tc>
        <w:tc>
          <w:tcPr>
            <w:tcW w:w="4643" w:type="dxa"/>
            <w:tcBorders/>
          </w:tcPr>
          <w:p>
            <w:pPr>
              <w:pStyle w:val="Body2"/>
              <w:keepNext w:val="true"/>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"New Tax"</w:t>
            </w:r>
          </w:p>
        </w:tc>
        <w:tc>
          <w:tcPr>
            <w:tcW w:w="4643" w:type="dxa"/>
            <w:tcBorders/>
          </w:tcPr>
          <w:p>
            <w:pPr>
              <w:pStyle w:val="Body2"/>
              <w:spacing w:before="0" w:after="210"/>
              <w:ind w:start="0" w:end="0"/>
              <w:rPr/>
            </w:pPr>
            <w:r>
              <w:rPr/>
              <w:t>has the meaning given to that expression in Schedule 3;</w:t>
            </w:r>
          </w:p>
        </w:tc>
      </w:tr>
      <w:tr>
        <w:trPr/>
        <w:tc>
          <w:tcPr>
            <w:tcW w:w="3968" w:type="dxa"/>
            <w:tcBorders/>
          </w:tcPr>
          <w:p>
            <w:pPr>
              <w:pStyle w:val="Body2"/>
              <w:spacing w:before="0" w:after="210"/>
              <w:ind w:start="0" w:end="0"/>
              <w:rPr/>
            </w:pPr>
            <w:r>
              <w:rPr/>
              <w:t>"Option "</w:t>
            </w:r>
          </w:p>
        </w:tc>
        <w:tc>
          <w:tcPr>
            <w:tcW w:w="4643" w:type="dxa"/>
            <w:tcBorders/>
          </w:tcPr>
          <w:p>
            <w:pPr>
              <w:pStyle w:val="Body2"/>
              <w:spacing w:before="0" w:after="210"/>
              <w:ind w:start="0" w:end="0"/>
              <w:rPr/>
            </w:pPr>
            <w:r>
              <w:rPr/>
              <w:t>shall mean an option the exercise of which gives rise to an NBP Transaction between the Parties;</w:t>
            </w:r>
          </w:p>
        </w:tc>
      </w:tr>
      <w:tr>
        <w:trPr/>
        <w:tc>
          <w:tcPr>
            <w:tcW w:w="3968" w:type="dxa"/>
            <w:tcBorders/>
          </w:tcPr>
          <w:p>
            <w:pPr>
              <w:pStyle w:val="Body2"/>
              <w:spacing w:before="0" w:after="210"/>
              <w:ind w:start="0" w:end="0"/>
              <w:rPr/>
            </w:pPr>
            <w:r>
              <w:rPr/>
              <w:t>“</w:t>
            </w:r>
            <w:r>
              <w:rPr/>
              <w:t>Option Confirmation”</w:t>
            </w:r>
          </w:p>
        </w:tc>
        <w:tc>
          <w:tcPr>
            <w:tcW w:w="4643" w:type="dxa"/>
            <w:tcBorders/>
          </w:tcPr>
          <w:p>
            <w:pPr>
              <w:pStyle w:val="BodyText"/>
              <w:spacing w:before="0" w:after="120"/>
              <w:rPr/>
            </w:pPr>
            <w:r>
              <w:rPr/>
              <w:t>shall mean a Confirmation between the Parties in respect of an Option;</w:t>
            </w:r>
          </w:p>
        </w:tc>
      </w:tr>
      <w:tr>
        <w:trPr/>
        <w:tc>
          <w:tcPr>
            <w:tcW w:w="3968" w:type="dxa"/>
            <w:tcBorders/>
          </w:tcPr>
          <w:p>
            <w:pPr>
              <w:pStyle w:val="Body2"/>
              <w:spacing w:before="0" w:after="210"/>
              <w:ind w:start="0" w:end="0"/>
              <w:rPr/>
            </w:pPr>
            <w:r>
              <w:rPr/>
              <w:t>"Party"</w:t>
            </w:r>
          </w:p>
        </w:tc>
        <w:tc>
          <w:tcPr>
            <w:tcW w:w="4643" w:type="dxa"/>
            <w:tcBorders/>
          </w:tcPr>
          <w:p>
            <w:pPr>
              <w:pStyle w:val="Body2"/>
              <w:spacing w:before="0" w:after="210"/>
              <w:ind w:start="0" w:end="0"/>
              <w:rPr/>
            </w:pPr>
            <w:r>
              <w:rPr/>
              <w:t>Enron or Counterparty, or their respective successors and permitted assigns;</w:t>
            </w:r>
          </w:p>
        </w:tc>
      </w:tr>
      <w:tr>
        <w:trPr/>
        <w:tc>
          <w:tcPr>
            <w:tcW w:w="3968" w:type="dxa"/>
            <w:tcBorders/>
          </w:tcPr>
          <w:p>
            <w:pPr>
              <w:pStyle w:val="Body2"/>
              <w:spacing w:before="0" w:after="210"/>
              <w:ind w:start="0" w:end="0"/>
              <w:rPr/>
            </w:pPr>
            <w:r>
              <w:rPr/>
              <w:t>"Person"</w:t>
            </w:r>
          </w:p>
        </w:tc>
        <w:tc>
          <w:tcPr>
            <w:tcW w:w="4643" w:type="dxa"/>
            <w:tcBorders/>
          </w:tcPr>
          <w:p>
            <w:pPr>
              <w:pStyle w:val="Body2"/>
              <w:spacing w:before="0" w:after="210"/>
              <w:ind w:start="0" w:end="0"/>
              <w:rPr/>
            </w:pPr>
            <w:r>
              <w:rPr/>
              <w:t>means any person or corporate entity other than Enron or the Counterparty;</w:t>
            </w:r>
          </w:p>
        </w:tc>
      </w:tr>
      <w:tr>
        <w:trPr/>
        <w:tc>
          <w:tcPr>
            <w:tcW w:w="3968" w:type="dxa"/>
            <w:tcBorders/>
          </w:tcPr>
          <w:p>
            <w:pPr>
              <w:pStyle w:val="Body2"/>
              <w:spacing w:before="0" w:after="210"/>
              <w:ind w:start="0" w:end="0"/>
              <w:rPr/>
            </w:pPr>
            <w:r>
              <w:rPr/>
              <w:t>“</w:t>
            </w:r>
            <w:r>
              <w:rPr/>
              <w:t>Premium”</w:t>
            </w:r>
          </w:p>
        </w:tc>
        <w:tc>
          <w:tcPr>
            <w:tcW w:w="4643" w:type="dxa"/>
            <w:tcBorders/>
          </w:tcPr>
          <w:p>
            <w:pPr>
              <w:pStyle w:val="Body2"/>
              <w:spacing w:before="0" w:after="210"/>
              <w:ind w:start="0" w:end="0"/>
              <w:rPr/>
            </w:pPr>
            <w:r>
              <w:rPr/>
              <w:t>has the meaning specified in the Option Confirmation;</w:t>
            </w:r>
          </w:p>
        </w:tc>
      </w:tr>
      <w:tr>
        <w:trPr/>
        <w:tc>
          <w:tcPr>
            <w:tcW w:w="3968" w:type="dxa"/>
            <w:tcBorders/>
          </w:tcPr>
          <w:p>
            <w:pPr>
              <w:pStyle w:val="Body2"/>
              <w:spacing w:before="0" w:after="210"/>
              <w:ind w:start="0" w:end="0"/>
              <w:rPr/>
            </w:pPr>
            <w:r>
              <w:rPr/>
              <w:t>“</w:t>
            </w:r>
            <w:r>
              <w:rPr/>
              <w:t>Premium Payment Date”</w:t>
            </w:r>
          </w:p>
        </w:tc>
        <w:tc>
          <w:tcPr>
            <w:tcW w:w="4643" w:type="dxa"/>
            <w:tcBorders/>
          </w:tcPr>
          <w:p>
            <w:pPr>
              <w:pStyle w:val="Body2"/>
              <w:spacing w:before="0" w:after="210"/>
              <w:ind w:start="0" w:end="0"/>
              <w:rPr/>
            </w:pPr>
            <w:r>
              <w:rPr/>
              <w:t>has the meaning specified in the Option Confirmation;</w:t>
            </w:r>
          </w:p>
        </w:tc>
      </w:tr>
      <w:tr>
        <w:trPr/>
        <w:tc>
          <w:tcPr>
            <w:tcW w:w="3968" w:type="dxa"/>
            <w:tcBorders/>
          </w:tcPr>
          <w:p>
            <w:pPr>
              <w:pStyle w:val="Body2"/>
              <w:spacing w:before="0" w:after="210"/>
              <w:ind w:start="0" w:end="0"/>
              <w:rPr/>
            </w:pPr>
            <w:r>
              <w:rPr/>
              <w:t>“</w:t>
            </w:r>
            <w:r>
              <w:rPr/>
              <w:t>Pricing Indices”</w:t>
            </w:r>
          </w:p>
        </w:tc>
        <w:tc>
          <w:tcPr>
            <w:tcW w:w="4643" w:type="dxa"/>
            <w:tcBorders/>
          </w:tcPr>
          <w:p>
            <w:pPr>
              <w:pStyle w:val="Body2"/>
              <w:spacing w:before="0" w:after="210"/>
              <w:ind w:start="0" w:end="0"/>
              <w:rPr/>
            </w:pPr>
            <w:r>
              <w:rPr/>
              <w:t>has the meaning given to that expression in NBP 97;</w:t>
            </w:r>
          </w:p>
        </w:tc>
      </w:tr>
      <w:tr>
        <w:trPr/>
        <w:tc>
          <w:tcPr>
            <w:tcW w:w="3968" w:type="dxa"/>
            <w:tcBorders/>
          </w:tcPr>
          <w:p>
            <w:pPr>
              <w:pStyle w:val="Body2"/>
              <w:spacing w:before="0" w:after="210"/>
              <w:ind w:start="0" w:end="0"/>
              <w:rPr/>
            </w:pPr>
            <w:r>
              <w:rPr/>
              <w:t>"Referred Matter"</w:t>
            </w:r>
          </w:p>
        </w:tc>
        <w:tc>
          <w:tcPr>
            <w:tcW w:w="4643" w:type="dxa"/>
            <w:tcBorders/>
          </w:tcPr>
          <w:p>
            <w:pPr>
              <w:pStyle w:val="Body2"/>
              <w:spacing w:before="0" w:after="210"/>
              <w:ind w:start="0" w:end="0"/>
              <w:rPr/>
            </w:pPr>
            <w:r>
              <w:rPr/>
              <w:t>has the meaning given to that expression in clause 11.1;</w:t>
            </w:r>
          </w:p>
        </w:tc>
      </w:tr>
      <w:tr>
        <w:trPr/>
        <w:tc>
          <w:tcPr>
            <w:tcW w:w="3968" w:type="dxa"/>
            <w:tcBorders/>
          </w:tcPr>
          <w:p>
            <w:pPr>
              <w:pStyle w:val="Body2"/>
              <w:keepNext w:val="true"/>
              <w:spacing w:before="0" w:after="210"/>
              <w:ind w:start="0" w:end="0"/>
              <w:rPr/>
            </w:pPr>
            <w:r>
              <w:rPr/>
              <w:t>"S&amp;P"</w:t>
            </w:r>
          </w:p>
        </w:tc>
        <w:tc>
          <w:tcPr>
            <w:tcW w:w="4643" w:type="dxa"/>
            <w:tcBorders/>
          </w:tcPr>
          <w:p>
            <w:pPr>
              <w:pStyle w:val="Body2"/>
              <w:keepNext w:val="true"/>
              <w:spacing w:before="0" w:after="210"/>
              <w:ind w:start="0" w:end="0"/>
              <w:rPr/>
            </w:pPr>
            <w:r>
              <w:rPr/>
              <w:t>Standard &amp; Poor's Rating Group (a division of McGraw-Hill, Inc) or its successor for the time being;</w:t>
            </w:r>
          </w:p>
        </w:tc>
      </w:tr>
      <w:tr>
        <w:trPr/>
        <w:tc>
          <w:tcPr>
            <w:tcW w:w="3968" w:type="dxa"/>
            <w:tcBorders/>
          </w:tcPr>
          <w:p>
            <w:pPr>
              <w:pStyle w:val="Body2"/>
              <w:spacing w:before="0" w:after="210"/>
              <w:ind w:start="0" w:end="0"/>
              <w:rPr/>
            </w:pPr>
            <w:r>
              <w:rPr/>
              <w:t>"Seller"</w:t>
            </w:r>
          </w:p>
        </w:tc>
        <w:tc>
          <w:tcPr>
            <w:tcW w:w="4643" w:type="dxa"/>
            <w:tcBorders/>
          </w:tcPr>
          <w:p>
            <w:pPr>
              <w:pStyle w:val="Level3"/>
              <w:spacing w:before="0" w:after="210"/>
              <w:ind w:hanging="37" w:start="37" w:end="0"/>
              <w:rPr/>
            </w:pPr>
            <w:r>
              <w:rPr/>
              <w:t>means the Party required to make Disposing Trade Nominations;</w:t>
            </w:r>
          </w:p>
        </w:tc>
      </w:tr>
      <w:tr>
        <w:trPr/>
        <w:tc>
          <w:tcPr>
            <w:tcW w:w="3968" w:type="dxa"/>
            <w:tcBorders/>
          </w:tcPr>
          <w:p>
            <w:pPr>
              <w:pStyle w:val="Body2"/>
              <w:spacing w:before="0" w:after="210"/>
              <w:ind w:start="0" w:end="0"/>
              <w:rPr/>
            </w:pPr>
            <w:r>
              <w:rPr/>
              <w:t>"Supply Period"</w:t>
            </w:r>
          </w:p>
        </w:tc>
        <w:tc>
          <w:tcPr>
            <w:tcW w:w="4643" w:type="dxa"/>
            <w:tcBorders/>
          </w:tcPr>
          <w:p>
            <w:pPr>
              <w:pStyle w:val="Body2"/>
              <w:spacing w:before="0" w:after="210"/>
              <w:ind w:start="0" w:end="0"/>
              <w:rPr/>
            </w:pPr>
            <w:r>
              <w:rPr/>
              <w:t>in respect of a Transaction, the period agreed as such when the Transaction is entered into;</w:t>
            </w:r>
          </w:p>
        </w:tc>
      </w:tr>
      <w:tr>
        <w:trPr/>
        <w:tc>
          <w:tcPr>
            <w:tcW w:w="3968" w:type="dxa"/>
            <w:tcBorders/>
          </w:tcPr>
          <w:p>
            <w:pPr>
              <w:pStyle w:val="Body2"/>
              <w:snapToGrid w:val="false"/>
              <w:ind w:start="0" w:end="0"/>
              <w:rPr/>
            </w:pPr>
            <w:r>
              <w:rPr/>
            </w:r>
          </w:p>
          <w:p>
            <w:pPr>
              <w:pStyle w:val="Body2"/>
              <w:spacing w:before="0" w:after="210"/>
              <w:ind w:start="0" w:end="0"/>
              <w:rPr/>
            </w:pPr>
            <w:r>
              <w:rPr/>
              <w:t>"Tax"</w:t>
            </w:r>
          </w:p>
        </w:tc>
        <w:tc>
          <w:tcPr>
            <w:tcW w:w="4643" w:type="dxa"/>
            <w:tcBorders/>
          </w:tcPr>
          <w:p>
            <w:pPr>
              <w:pStyle w:val="Body2"/>
              <w:snapToGrid w:val="false"/>
              <w:ind w:start="0" w:end="0"/>
              <w:rPr/>
            </w:pPr>
            <w:r>
              <w:rPr/>
            </w:r>
          </w:p>
          <w:p>
            <w:pPr>
              <w:pStyle w:val="Body2"/>
              <w:spacing w:before="0" w:after="210"/>
              <w:ind w:start="0" w:end="0"/>
              <w:rPr/>
            </w:pPr>
            <w:r>
              <w:rPr/>
              <w:t>has the meaning given to that expression in Schedule 3;</w:t>
            </w:r>
          </w:p>
        </w:tc>
      </w:tr>
      <w:tr>
        <w:trPr/>
        <w:tc>
          <w:tcPr>
            <w:tcW w:w="3968" w:type="dxa"/>
            <w:tcBorders/>
          </w:tcPr>
          <w:p>
            <w:pPr>
              <w:pStyle w:val="Body2"/>
              <w:spacing w:before="0" w:after="210"/>
              <w:ind w:start="0" w:end="0"/>
              <w:rPr/>
            </w:pPr>
            <w:r>
              <w:rPr/>
              <w:t>"Transaction"</w:t>
            </w:r>
          </w:p>
        </w:tc>
        <w:tc>
          <w:tcPr>
            <w:tcW w:w="4643" w:type="dxa"/>
            <w:tcBorders/>
          </w:tcPr>
          <w:p>
            <w:pPr>
              <w:pStyle w:val="Body2"/>
              <w:spacing w:before="0" w:after="210"/>
              <w:ind w:start="0" w:end="0"/>
              <w:rPr/>
            </w:pPr>
            <w:r>
              <w:rPr/>
              <w:t>a transaction of a kind described in clause 3.2, which is governed by, and forms part of, this Agreement (including any transaction incorporated pursuant to, and in accordance with, clause 3.9);</w:t>
            </w:r>
          </w:p>
        </w:tc>
      </w:tr>
      <w:tr>
        <w:trPr/>
        <w:tc>
          <w:tcPr>
            <w:tcW w:w="3968" w:type="dxa"/>
            <w:tcBorders/>
          </w:tcPr>
          <w:p>
            <w:pPr>
              <w:pStyle w:val="Body2"/>
              <w:spacing w:before="0" w:after="210"/>
              <w:ind w:start="0" w:end="0"/>
              <w:rPr/>
            </w:pPr>
            <w:r>
              <w:rPr/>
              <w:t>"Transco"</w:t>
            </w:r>
          </w:p>
        </w:tc>
        <w:tc>
          <w:tcPr>
            <w:tcW w:w="4643" w:type="dxa"/>
            <w:tcBorders/>
          </w:tcPr>
          <w:p>
            <w:pPr>
              <w:pStyle w:val="Body2"/>
              <w:spacing w:before="0" w:after="210"/>
              <w:ind w:start="0" w:end="0"/>
              <w:rPr/>
            </w:pPr>
            <w:r>
              <w:rPr/>
              <w:t>Transco plc as operator of the National Transmission System, or any successor to the Transco plc gas transporter licence;</w:t>
            </w:r>
          </w:p>
        </w:tc>
      </w:tr>
      <w:tr>
        <w:trPr/>
        <w:tc>
          <w:tcPr>
            <w:tcW w:w="3968" w:type="dxa"/>
            <w:tcBorders/>
          </w:tcPr>
          <w:p>
            <w:pPr>
              <w:pStyle w:val="Body2"/>
              <w:spacing w:before="0" w:after="210"/>
              <w:ind w:start="0" w:end="0"/>
              <w:rPr/>
            </w:pPr>
            <w:r>
              <w:rPr/>
              <w:t>"VAT"</w:t>
            </w:r>
          </w:p>
        </w:tc>
        <w:tc>
          <w:tcPr>
            <w:tcW w:w="4643" w:type="dxa"/>
            <w:tcBorders/>
          </w:tcPr>
          <w:p>
            <w:pPr>
              <w:pStyle w:val="Body2"/>
              <w:spacing w:before="0" w:after="210"/>
              <w:ind w:start="0" w:end="0"/>
              <w:rPr/>
            </w:pPr>
            <w:r>
              <w:rPr/>
              <w:t xml:space="preserve">has the meaning given to that expression in Schedule 3; </w:t>
            </w:r>
          </w:p>
        </w:tc>
      </w:tr>
      <w:tr>
        <w:trPr/>
        <w:tc>
          <w:tcPr>
            <w:tcW w:w="3968" w:type="dxa"/>
            <w:tcBorders/>
          </w:tcPr>
          <w:p>
            <w:pPr>
              <w:pStyle w:val="Body2"/>
              <w:spacing w:before="0" w:after="210"/>
              <w:ind w:start="0" w:end="0"/>
              <w:rPr/>
            </w:pPr>
            <w:r>
              <w:rPr/>
              <w:t>"Week"</w:t>
            </w:r>
          </w:p>
        </w:tc>
        <w:tc>
          <w:tcPr>
            <w:tcW w:w="4643" w:type="dxa"/>
            <w:tcBorders/>
          </w:tcPr>
          <w:p>
            <w:pPr>
              <w:pStyle w:val="Body2"/>
              <w:spacing w:before="0" w:after="210"/>
              <w:ind w:start="0" w:end="0"/>
              <w:rPr/>
            </w:pPr>
            <w:r>
              <w:rPr/>
              <w:t>has the meaning given to that expression in NBP 97.</w:t>
            </w:r>
          </w:p>
        </w:tc>
      </w:tr>
    </w:tbl>
    <w:p>
      <w:pPr>
        <w:pStyle w:val="Level2"/>
        <w:numPr>
          <w:ilvl w:val="1"/>
          <w:numId w:val="12"/>
        </w:numPr>
        <w:spacing w:before="240" w:after="210"/>
        <w:ind w:hanging="0" w:start="709"/>
        <w:rPr/>
      </w:pPr>
      <w:r>
        <w:rPr/>
        <w:t>Expressions which are defined in the Network Code have the same meanings where used in this Agreement, unless otherwise defined in this Agreement.</w:t>
      </w:r>
    </w:p>
    <w:p>
      <w:pPr>
        <w:pStyle w:val="Level2"/>
        <w:numPr>
          <w:ilvl w:val="1"/>
          <w:numId w:val="12"/>
        </w:numPr>
        <w:ind w:hanging="0" w:start="709"/>
        <w:rPr/>
      </w:pPr>
      <w:r>
        <w:rPr/>
        <w:t>This Master Agreement and all Transactions shall be regarded together as one agreement, and any reference to "this Agreement" is a reference to:</w:t>
      </w:r>
    </w:p>
    <w:p>
      <w:pPr>
        <w:pStyle w:val="Level3"/>
        <w:ind w:start="746" w:end="0"/>
        <w:rPr/>
      </w:pPr>
      <w:r>
        <w:rPr/>
        <w:t>(a)</w:t>
        <w:tab/>
        <w:t>this Master Agreement, signed by the Parties;</w:t>
      </w:r>
    </w:p>
    <w:p>
      <w:pPr>
        <w:pStyle w:val="Level3"/>
        <w:ind w:hanging="709" w:start="1418" w:end="0"/>
        <w:rPr/>
      </w:pPr>
      <w:r>
        <w:rPr/>
        <w:t>(b)</w:t>
        <w:tab/>
        <w:t xml:space="preserve">the provisions of NBP 97 which are incorporated by reference, construed and amended in accordance with this Master Agreement; and </w:t>
      </w:r>
    </w:p>
    <w:p>
      <w:pPr>
        <w:pStyle w:val="Level3"/>
        <w:ind w:start="746" w:end="0"/>
        <w:rPr/>
      </w:pPr>
      <w:r>
        <w:rPr/>
        <w:t>(c)</w:t>
        <w:tab/>
        <w:t>the terms agreed for any Transactions for the time being subsisting.</w:t>
      </w:r>
    </w:p>
    <w:p>
      <w:pPr>
        <w:pStyle w:val="Level2"/>
        <w:keepNext w:val="true"/>
        <w:numPr>
          <w:ilvl w:val="1"/>
          <w:numId w:val="12"/>
        </w:numPr>
        <w:ind w:hanging="0" w:start="709"/>
        <w:rPr>
          <w:b/>
        </w:rPr>
      </w:pPr>
      <w:r>
        <w:rPr>
          <w:rStyle w:val="Heading2Text"/>
          <w:b w:val="false"/>
        </w:rPr>
        <w:t>In this Master Agreement:</w:t>
      </w:r>
    </w:p>
    <w:p>
      <w:pPr>
        <w:pStyle w:val="Level3"/>
        <w:ind w:hanging="709" w:start="1338" w:end="0"/>
        <w:rPr/>
      </w:pPr>
      <w:r>
        <w:rPr/>
        <w:t>(a)</w:t>
        <w:tab/>
        <w:t>references to "clauses" and "Schedules" are (unless otherwise specified) references to clauses of, and schedules to, this Master Agreement, and such Schedules are hereby incorporated as part of this Agreement;</w:t>
      </w:r>
    </w:p>
    <w:p>
      <w:pPr>
        <w:pStyle w:val="Level3"/>
        <w:ind w:start="666" w:end="0"/>
        <w:rPr/>
      </w:pPr>
      <w:r>
        <w:rPr/>
        <w:t>(b)</w:t>
        <w:tab/>
        <w:t>references to the singular shall include the plural and vice versa; and</w:t>
      </w:r>
    </w:p>
    <w:p>
      <w:pPr>
        <w:pStyle w:val="Level3"/>
        <w:ind w:hanging="789" w:start="1418" w:end="0"/>
        <w:rPr/>
      </w:pPr>
      <w:r>
        <w:rPr/>
        <w:t>(c)</w:t>
        <w:tab/>
        <w:t xml:space="preserve">references to statutes, statutory provisions or statutory instruments are to the same as amended, modified or re-enacted from time to time.  </w:t>
      </w:r>
    </w:p>
    <w:p>
      <w:pPr>
        <w:pStyle w:val="Level1"/>
        <w:numPr>
          <w:ilvl w:val="0"/>
          <w:numId w:val="12"/>
        </w:numPr>
        <w:spacing w:before="240" w:after="210"/>
        <w:ind w:hanging="0" w:start="0"/>
        <w:rPr>
          <w:rStyle w:val="Heading1Text"/>
        </w:rPr>
      </w:pPr>
      <w:r>
        <w:fldChar w:fldCharType="begin"/>
      </w:r>
      <w:r>
        <w:rPr/>
        <w:instrText xml:space="preserve"> TC "_x0013_ REF _Ref511105454 \r _x0014_2" \l 1 </w:instrText>
      </w:r>
      <w:r>
        <w:rPr/>
        <w:fldChar w:fldCharType="separate"/>
      </w:r>
      <w:r>
        <w:rPr/>
      </w:r>
      <w:r>
        <w:rPr/>
        <w:fldChar w:fldCharType="end"/>
      </w:r>
      <w:bookmarkStart w:id="2" w:name="__RefHeading___Toc529165725"/>
      <w:r>
        <w:rPr/>
        <w:fldChar w:fldCharType="begin"/>
      </w:r>
      <w:r>
        <w:rPr/>
        <w:instrText xml:space="preserve"> REF _Ref511105454 \r \r \h </w:instrText>
      </w:r>
      <w:r>
        <w:rPr/>
        <w:fldChar w:fldCharType="separate"/>
      </w:r>
      <w:r>
        <w:rPr/>
        <w:t>2</w:t>
      </w:r>
      <w:r>
        <w:rPr/>
        <w:fldChar w:fldCharType="end"/>
      </w:r>
      <w:bookmarkStart w:id="3" w:name="_Ref511105454"/>
      <w:bookmarkEnd w:id="2"/>
      <w:r>
        <w:rPr>
          <w:rStyle w:val="Heading1Text"/>
        </w:rPr>
        <w:t>Term</w:t>
      </w:r>
      <w:bookmarkEnd w:id="3"/>
    </w:p>
    <w:p>
      <w:pPr>
        <w:pStyle w:val="Level2"/>
        <w:numPr>
          <w:ilvl w:val="1"/>
          <w:numId w:val="12"/>
        </w:numPr>
        <w:ind w:hanging="0" w:start="709"/>
        <w:rPr/>
      </w:pPr>
      <w:r>
        <w:rPr/>
        <w:t>This Master Agreement shall come into force immediately upon execution.</w:t>
      </w:r>
    </w:p>
    <w:p>
      <w:pPr>
        <w:pStyle w:val="Level2"/>
        <w:numPr>
          <w:ilvl w:val="1"/>
          <w:numId w:val="12"/>
        </w:numPr>
        <w:ind w:hanging="0" w:start="709"/>
        <w:rPr/>
      </w:pPr>
      <w:r>
        <w:rPr/>
        <w:t>Notwithstanding any termination of this Master Agreement, the provisions excluding or limiting liability, and the provisions relating to confidentiality, the consequences of termination, governing law and jurisdiction, shall continue to apply without limit in time.</w:t>
      </w:r>
    </w:p>
    <w:p>
      <w:pPr>
        <w:pStyle w:val="Level2"/>
        <w:numPr>
          <w:ilvl w:val="1"/>
          <w:numId w:val="12"/>
        </w:numPr>
        <w:ind w:hanging="0" w:start="709"/>
        <w:rPr/>
      </w:pPr>
      <w:r>
        <w:rPr/>
        <w:t>Any termination of this Master Agreement shall be without prejudice to any accrued rights and liabilities existing at the date of termination.</w:t>
      </w:r>
    </w:p>
    <w:p>
      <w:pPr>
        <w:pStyle w:val="Level1"/>
        <w:keepNext w:val="true"/>
        <w:numPr>
          <w:ilvl w:val="0"/>
          <w:numId w:val="12"/>
        </w:numPr>
        <w:spacing w:before="240" w:after="210"/>
        <w:ind w:hanging="0" w:start="0"/>
        <w:rPr>
          <w:rStyle w:val="Heading1Text"/>
        </w:rPr>
      </w:pPr>
      <w:r>
        <w:fldChar w:fldCharType="begin"/>
      </w:r>
      <w:r>
        <w:rPr/>
        <w:instrText xml:space="preserve"> TC "_x0013_ REF _Ref511037409 \r  \* MERGEFORMAT _x0014_3" \l 1 </w:instrText>
      </w:r>
      <w:r>
        <w:rPr/>
        <w:fldChar w:fldCharType="separate"/>
      </w:r>
      <w:r>
        <w:rPr/>
      </w:r>
      <w:r>
        <w:rPr/>
        <w:fldChar w:fldCharType="end"/>
      </w:r>
      <w:bookmarkStart w:id="4" w:name="__RefHeading___Toc529165726"/>
      <w:bookmarkStart w:id="5" w:name="_Ref500584461"/>
      <w:r>
        <w:rPr/>
        <w:fldChar w:fldCharType="begin"/>
      </w:r>
      <w:r>
        <w:rPr/>
        <w:instrText xml:space="preserve"> REF _Ref511037409 \r \r \h </w:instrText>
      </w:r>
      <w:r>
        <w:rPr/>
        <w:fldChar w:fldCharType="separate"/>
      </w:r>
      <w:r>
        <w:rPr/>
        <w:t>3</w:t>
      </w:r>
      <w:r>
        <w:rPr/>
        <w:fldChar w:fldCharType="end"/>
      </w:r>
      <w:bookmarkStart w:id="6" w:name="_Ref511037409"/>
      <w:bookmarkEnd w:id="4"/>
      <w:r>
        <w:rPr>
          <w:rStyle w:val="Heading1Text"/>
        </w:rPr>
        <w:t>Transactions</w:t>
      </w:r>
      <w:bookmarkEnd w:id="6"/>
    </w:p>
    <w:p>
      <w:pPr>
        <w:pStyle w:val="Level2"/>
        <w:keepNext w:val="true"/>
        <w:numPr>
          <w:ilvl w:val="1"/>
          <w:numId w:val="12"/>
        </w:numPr>
        <w:ind w:hanging="0" w:start="709"/>
        <w:rPr/>
      </w:pPr>
      <w:r>
        <w:rPr/>
        <w:t>The Parties may, but shall not be obliged to, enter into one or more Transactions under this Agreement.</w:t>
      </w:r>
    </w:p>
    <w:p>
      <w:pPr>
        <w:pStyle w:val="Level2"/>
        <w:numPr>
          <w:ilvl w:val="1"/>
          <w:numId w:val="12"/>
        </w:numPr>
        <w:ind w:hanging="0" w:start="709"/>
        <w:rPr/>
      </w:pPr>
      <w:r>
        <w:rPr/>
        <w:t>A Transaction may be either:</w:t>
      </w:r>
    </w:p>
    <w:p>
      <w:pPr>
        <w:pStyle w:val="Level3"/>
        <w:ind w:hanging="709" w:start="1338" w:end="0"/>
        <w:rPr/>
      </w:pPr>
      <w:r>
        <w:rPr/>
        <w:t>(a)</w:t>
        <w:tab/>
        <w:t>an "NBP Transaction", being a Transaction under which the Parties are to carry out NBP Trades; or</w:t>
      </w:r>
    </w:p>
    <w:p>
      <w:pPr>
        <w:pStyle w:val="Level3"/>
        <w:ind w:start="666" w:end="0"/>
        <w:rPr/>
      </w:pPr>
      <w:r>
        <w:rPr/>
        <w:t>(b)</w:t>
        <w:tab/>
        <w:t>an " Option",  the exercise of which gives rise to an NBP Transaction.</w:t>
      </w:r>
    </w:p>
    <w:p>
      <w:pPr>
        <w:pStyle w:val="Level2"/>
        <w:numPr>
          <w:ilvl w:val="1"/>
          <w:numId w:val="12"/>
        </w:numPr>
        <w:ind w:hanging="0" w:start="709"/>
        <w:rPr/>
      </w:pPr>
      <w:r>
        <w:rPr/>
        <w:t>In respect of a Transaction, the Parties may agree terms which are additional to, or in substitution for, any of the terms of this Master Agreement, and in the case of any conflict between any term so agreed and any term of this Master Agreement, the term so agreed shall prevail.</w:t>
      </w:r>
    </w:p>
    <w:p>
      <w:pPr>
        <w:pStyle w:val="Level2"/>
        <w:numPr>
          <w:ilvl w:val="1"/>
          <w:numId w:val="12"/>
        </w:numPr>
        <w:ind w:hanging="0" w:start="709"/>
        <w:rPr/>
      </w:pPr>
      <w:r>
        <w:rPr/>
        <w:t>Transactions may be entered into orally or in writing, or by means of the Enron Website in accordance with clause 3.6.</w:t>
      </w:r>
    </w:p>
    <w:p>
      <w:pPr>
        <w:pStyle w:val="Level2"/>
        <w:numPr>
          <w:ilvl w:val="1"/>
          <w:numId w:val="12"/>
        </w:numPr>
        <w:ind w:hanging="0" w:start="709"/>
        <w:rPr/>
      </w:pPr>
      <w:r>
        <w:rPr/>
        <w:t xml:space="preserve">Except in the case of any Transaction that is entered into through the Enron Website in accordance with clause 3.6, the provisions of clause 2 of NBP 97 (other than clause 2.6 of NBP 97) shall apply in relation to each Transaction, on the basis set out in clause 4.2, unless otherwise agreed.  </w:t>
      </w:r>
    </w:p>
    <w:p>
      <w:pPr>
        <w:pStyle w:val="Level2"/>
        <w:numPr>
          <w:ilvl w:val="1"/>
          <w:numId w:val="12"/>
        </w:numPr>
        <w:ind w:hanging="0" w:start="709"/>
        <w:rPr/>
      </w:pPr>
      <w:r>
        <w:rPr/>
        <w:t>A Transaction may be entered into through the Enron Website by:</w:t>
      </w:r>
    </w:p>
    <w:p>
      <w:pPr>
        <w:pStyle w:val="Level3"/>
        <w:ind w:hanging="709" w:start="1375" w:end="0"/>
        <w:rPr/>
      </w:pPr>
      <w:r>
        <w:rPr/>
        <w:t>(a)</w:t>
        <w:tab/>
        <w:t>Counterparty making an offer (being an offer to buy from or sell to Enron) by "clicking" the designated boxes on the Enron Website; and</w:t>
      </w:r>
    </w:p>
    <w:p>
      <w:pPr>
        <w:pStyle w:val="Level3"/>
        <w:ind w:start="703" w:end="0"/>
        <w:rPr/>
      </w:pPr>
      <w:r>
        <w:rPr/>
        <w:t>(b)</w:t>
        <w:tab/>
        <w:t>Enron accepting Counterparty's offer;</w:t>
      </w:r>
    </w:p>
    <w:p>
      <w:pPr>
        <w:pStyle w:val="Body2"/>
        <w:ind w:start="1375" w:end="0"/>
        <w:rPr/>
      </w:pPr>
      <w:r>
        <w:rPr/>
        <w:t>and for this purpose:</w:t>
      </w:r>
    </w:p>
    <w:p>
      <w:pPr>
        <w:pStyle w:val="Level4"/>
        <w:numPr>
          <w:ilvl w:val="3"/>
          <w:numId w:val="12"/>
        </w:numPr>
        <w:ind w:hanging="0" w:start="2126"/>
        <w:rPr/>
      </w:pPr>
      <w:r>
        <w:rPr/>
        <w:t>the Enron Website is not and shall not be construed as an offer by Enron to buy or to sell or to enter into an option to buy or sell;</w:t>
      </w:r>
    </w:p>
    <w:p>
      <w:pPr>
        <w:pStyle w:val="Level4"/>
        <w:numPr>
          <w:ilvl w:val="3"/>
          <w:numId w:val="12"/>
        </w:numPr>
        <w:ind w:hanging="0" w:start="2126"/>
        <w:rPr/>
      </w:pPr>
      <w:r>
        <w:rPr/>
        <w:t>Enron may, in its sole discretion, accept or reject any offer made by Counterparty pursuant to paragraph (a) above;</w:t>
      </w:r>
    </w:p>
    <w:p>
      <w:pPr>
        <w:pStyle w:val="Level4"/>
        <w:numPr>
          <w:ilvl w:val="3"/>
          <w:numId w:val="12"/>
        </w:numPr>
        <w:ind w:hanging="0" w:start="2126"/>
        <w:rPr/>
      </w:pPr>
      <w:r>
        <w:rPr/>
        <w:t>a Transaction pursuant to this clause 3.7 shall be deemed entered into at the time Enron first signifies its acceptance of Counterparty's offer, such acceptance being accessible on the Enron Website server;</w:t>
      </w:r>
    </w:p>
    <w:p>
      <w:pPr>
        <w:pStyle w:val="Level4"/>
        <w:numPr>
          <w:ilvl w:val="3"/>
          <w:numId w:val="12"/>
        </w:numPr>
        <w:ind w:hanging="0" w:start="2126"/>
        <w:rPr/>
      </w:pPr>
      <w:r>
        <w:rPr/>
        <w:t>following a Transaction being entered into pursuant to this clause 3.7, the Parties may also complete a Confirmation by way of record of the terms of the Transaction, but in the event of any conflict, the evidence of the terms of a Transaction contained in Enron's electronic records, or in paper copies of such electronic records, shall prevail.</w:t>
      </w:r>
    </w:p>
    <w:p>
      <w:pPr>
        <w:pStyle w:val="Level2"/>
        <w:numPr>
          <w:ilvl w:val="1"/>
          <w:numId w:val="12"/>
        </w:numPr>
        <w:ind w:hanging="0" w:start="709"/>
        <w:rPr/>
      </w:pPr>
      <w:r>
        <w:rPr/>
        <w:t>Unless otherwise stated in Schedule 2, any transaction of the kind referred to in clause 3.2, which has been entered into by the Parties prior to the date of this Master Agreement, shall be deemed to be a Transaction forming part of this Agreement, provided that:</w:t>
      </w:r>
    </w:p>
    <w:p>
      <w:pPr>
        <w:pStyle w:val="Level3"/>
        <w:ind w:hanging="709" w:start="709" w:end="0"/>
        <w:rPr/>
      </w:pPr>
      <w:r>
        <w:rPr/>
        <w:t>(a)</w:t>
        <w:tab/>
        <w:t>this clause 3.7 shall not affect the rights or obligations of the Parties under the transaction which arose before the date of this Master Agreement;</w:t>
      </w:r>
    </w:p>
    <w:p>
      <w:pPr>
        <w:pStyle w:val="Level3"/>
        <w:ind w:hanging="709" w:start="709" w:end="0"/>
        <w:rPr/>
      </w:pPr>
      <w:r>
        <w:rPr/>
        <w:t>(b)</w:t>
        <w:tab/>
        <w:t>this clause 3.7 is effective notwithstanding any entire agreement clause relevant to the transaction.</w:t>
      </w:r>
    </w:p>
    <w:p>
      <w:pPr>
        <w:pStyle w:val="Level2"/>
        <w:numPr>
          <w:ilvl w:val="1"/>
          <w:numId w:val="12"/>
        </w:numPr>
        <w:ind w:hanging="0" w:start="709"/>
        <w:rPr/>
      </w:pPr>
      <w:r>
        <w:rPr/>
        <w:t>If, in relation to a Transaction, there is any conflict between a Confirmation and a recording of a telephone conversation effecting the Transaction, the recording shall prevail.</w:t>
      </w:r>
      <w:bookmarkStart w:id="7" w:name="_Ref511038197"/>
      <w:bookmarkEnd w:id="5"/>
    </w:p>
    <w:p>
      <w:pPr>
        <w:pStyle w:val="Level1"/>
        <w:keepNext w:val="true"/>
        <w:numPr>
          <w:ilvl w:val="0"/>
          <w:numId w:val="12"/>
        </w:numPr>
        <w:spacing w:before="240" w:after="210"/>
        <w:ind w:hanging="0" w:start="0"/>
        <w:rPr>
          <w:rStyle w:val="Heading1Text"/>
        </w:rPr>
      </w:pPr>
      <w:r>
        <w:fldChar w:fldCharType="begin"/>
      </w:r>
      <w:r>
        <w:rPr/>
        <w:instrText xml:space="preserve"> TC "_x0013_ REF _Ref513519398 \r  \* MERGEFORMAT _x0014_4" \l 1 </w:instrText>
      </w:r>
      <w:r>
        <w:rPr/>
        <w:fldChar w:fldCharType="separate"/>
      </w:r>
      <w:r>
        <w:rPr/>
      </w:r>
      <w:r>
        <w:rPr/>
        <w:fldChar w:fldCharType="end"/>
      </w:r>
      <w:bookmarkStart w:id="8" w:name="__RefHeading___Toc529165727"/>
      <w:r>
        <w:rPr/>
        <w:fldChar w:fldCharType="begin"/>
      </w:r>
      <w:r>
        <w:rPr/>
        <w:instrText xml:space="preserve"> REF _Ref513519398 \r \r \h </w:instrText>
      </w:r>
      <w:r>
        <w:rPr/>
        <w:fldChar w:fldCharType="separate"/>
      </w:r>
      <w:r>
        <w:rPr/>
        <w:t>4</w:t>
      </w:r>
      <w:r>
        <w:rPr/>
        <w:fldChar w:fldCharType="end"/>
      </w:r>
      <w:bookmarkStart w:id="9" w:name="_Ref513519398"/>
      <w:bookmarkEnd w:id="8"/>
      <w:r>
        <w:rPr>
          <w:rStyle w:val="Heading1Text"/>
        </w:rPr>
        <w:t xml:space="preserve">NBP </w:t>
      </w:r>
      <w:bookmarkEnd w:id="7"/>
      <w:r>
        <w:rPr>
          <w:rStyle w:val="Heading1Text"/>
        </w:rPr>
        <w:t>Trades – Application of NBP 97</w:t>
      </w:r>
      <w:bookmarkEnd w:id="9"/>
    </w:p>
    <w:p>
      <w:pPr>
        <w:pStyle w:val="Level2"/>
        <w:keepNext w:val="true"/>
        <w:numPr>
          <w:ilvl w:val="1"/>
          <w:numId w:val="12"/>
        </w:numPr>
        <w:ind w:hanging="0" w:start="709"/>
        <w:rPr/>
      </w:pPr>
      <w:r>
        <w:rPr/>
        <w:t>For an NBP Transaction the provisions of the following clauses of NBP 97 shall apply, on the basis set out in clause 4.2, and subject to clause 4.3:</w:t>
      </w:r>
    </w:p>
    <w:p>
      <w:pPr>
        <w:pStyle w:val="Body3"/>
        <w:rPr/>
      </w:pPr>
      <w:r>
        <w:rPr/>
        <w:t>Clause 3 (Representations and Warranties)</w:t>
      </w:r>
    </w:p>
    <w:p>
      <w:pPr>
        <w:pStyle w:val="Body3"/>
        <w:rPr/>
      </w:pPr>
      <w:r>
        <w:rPr/>
        <w:t>Clause 4 (NBP Trades)</w:t>
      </w:r>
    </w:p>
    <w:p>
      <w:pPr>
        <w:pStyle w:val="Body3"/>
        <w:rPr/>
      </w:pPr>
      <w:r>
        <w:rPr/>
        <w:t>Clause 7 (Force Majeure).</w:t>
      </w:r>
    </w:p>
    <w:p>
      <w:pPr>
        <w:pStyle w:val="Level2"/>
        <w:numPr>
          <w:ilvl w:val="1"/>
          <w:numId w:val="12"/>
        </w:numPr>
        <w:ind w:hanging="0" w:start="709"/>
        <w:rPr/>
      </w:pPr>
      <w:r>
        <w:rPr/>
        <w:t>Where this Agreement stipulates that any clauses of NBP 97 are to apply, such clauses shall be construed on the basis of the definitions and rules of interpretation set out in clause 1 of NBP 97, save that the expressions "Buyer", "Confirmation", "Daily Quantity", "Party", "Seller", "Supply Period", "Transaction" and "Transco" shall, where used in such clauses, each be attributed the meanings given to them in clause 1.1 of this Master Agreement.</w:t>
      </w:r>
    </w:p>
    <w:p>
      <w:pPr>
        <w:pStyle w:val="Level2"/>
        <w:numPr>
          <w:ilvl w:val="1"/>
          <w:numId w:val="12"/>
        </w:numPr>
        <w:ind w:hanging="0" w:start="709"/>
        <w:rPr/>
      </w:pPr>
      <w:r>
        <w:rPr/>
        <w:t>The clauses of NBP 97 referred to in clause 4.1 shall apply subject to the following amendments or interpretation:</w:t>
      </w:r>
    </w:p>
    <w:p>
      <w:pPr>
        <w:pStyle w:val="Level3"/>
        <w:ind w:hanging="709" w:start="709" w:end="0"/>
        <w:rPr/>
      </w:pPr>
      <w:r>
        <w:rPr/>
        <w:t>(a)</w:t>
        <w:tab/>
        <w:t>for the purposes of clauses 4.2 and 4.3 of NBP 97, the basis of compensation shall in each case be in accordance with option A; and</w:t>
      </w:r>
    </w:p>
    <w:p>
      <w:pPr>
        <w:pStyle w:val="Level3"/>
        <w:rPr/>
      </w:pPr>
      <w:r>
        <w:rPr/>
        <w:t>(b)</w:t>
        <w:tab/>
        <w:t>clause 7.2 of NBP 97 shall not apply.</w:t>
      </w:r>
    </w:p>
    <w:p>
      <w:pPr>
        <w:pStyle w:val="Level2"/>
        <w:keepNext w:val="true"/>
        <w:numPr>
          <w:ilvl w:val="1"/>
          <w:numId w:val="12"/>
        </w:numPr>
        <w:ind w:hanging="0" w:start="709"/>
        <w:rPr/>
      </w:pPr>
      <w:r>
        <w:rPr/>
        <w:t>If, in respect of a Day:</w:t>
      </w:r>
    </w:p>
    <w:p>
      <w:pPr>
        <w:pStyle w:val="Level3"/>
        <w:ind w:hanging="709" w:start="709" w:end="0"/>
        <w:rPr/>
      </w:pPr>
      <w:r>
        <w:rPr/>
        <w:t>(a)</w:t>
        <w:tab/>
        <w:t>the Parties are required to carry out an NBP Trade pursuant to an NBP Transaction; and</w:t>
      </w:r>
    </w:p>
    <w:p>
      <w:pPr>
        <w:pStyle w:val="Level3"/>
        <w:ind w:hanging="709" w:start="709" w:end="0"/>
        <w:rPr/>
      </w:pPr>
      <w:r>
        <w:rPr/>
        <w:t>(b)</w:t>
        <w:tab/>
        <w:t>the Parties are required, pursuant to another NBP Transaction and/or any other transactions, to carry out one or more NBP Trades in respect of which the Party required to make the Disposing Trade Nomination is the same as the Party required to make the Disposing Trade Nomination under the NBP Transaction referred to in (a) above,</w:t>
      </w:r>
    </w:p>
    <w:p>
      <w:pPr>
        <w:pStyle w:val="Body2"/>
        <w:rPr/>
      </w:pPr>
      <w:r>
        <w:rPr/>
        <w:t>then the obligation to make an Accurate Trade Nomination in respect of each such Transaction (pursuant to clause 4.1.1 of NBP 97) shall be construed as an obligation to make a Trade Nomination for a quantity which is equal to the aggregate of the quantities for which such NBP Trades are required to be made pursuant to all such Transactions and other transactions, and the provisions of clause 4 of NBP 97 shall be construed accordingly.</w:t>
      </w:r>
    </w:p>
    <w:p>
      <w:pPr>
        <w:pStyle w:val="Level2"/>
        <w:numPr>
          <w:ilvl w:val="1"/>
          <w:numId w:val="12"/>
        </w:numPr>
        <w:ind w:hanging="0" w:start="709"/>
        <w:rPr/>
      </w:pPr>
      <w:r>
        <w:rPr/>
        <w:t>For the avoidance of doubt, the provisions of NBP 97 which are not expressly incorporated by this Agreement shall not form part of this Agreement or of any Transaction.</w:t>
      </w:r>
    </w:p>
    <w:p>
      <w:pPr>
        <w:pStyle w:val="Level1"/>
        <w:numPr>
          <w:ilvl w:val="0"/>
          <w:numId w:val="12"/>
        </w:numPr>
        <w:ind w:hanging="0" w:start="0"/>
        <w:rPr>
          <w:rStyle w:val="Heading1Text"/>
        </w:rPr>
      </w:pPr>
      <w:r>
        <w:fldChar w:fldCharType="begin"/>
      </w:r>
      <w:r>
        <w:rPr/>
        <w:instrText xml:space="preserve"> TC "5.</w:instrText>
        <w:tab/>
        <w:instrText xml:space="preserve">Options" \l 1 </w:instrText>
      </w:r>
      <w:r>
        <w:rPr/>
        <w:fldChar w:fldCharType="separate"/>
      </w:r>
      <w:r>
        <w:rPr/>
      </w:r>
      <w:r>
        <w:rPr/>
        <w:fldChar w:fldCharType="end"/>
      </w:r>
      <w:bookmarkStart w:id="10" w:name="__RefHeading___Toc529165728"/>
      <w:bookmarkStart w:id="11" w:name="_Ref513520448"/>
      <w:bookmarkEnd w:id="10"/>
      <w:bookmarkEnd w:id="11"/>
      <w:r>
        <w:rPr>
          <w:rStyle w:val="Heading1Text"/>
          <w:rFonts w:eastAsia="Arial"/>
        </w:rPr>
        <w:t xml:space="preserve"> </w:t>
      </w:r>
      <w:r>
        <w:rPr>
          <w:rStyle w:val="Heading1Text"/>
        </w:rPr>
        <w:t>Options</w:t>
      </w:r>
    </w:p>
    <w:p>
      <w:pPr>
        <w:pStyle w:val="Level2"/>
        <w:numPr>
          <w:ilvl w:val="1"/>
          <w:numId w:val="12"/>
        </w:numPr>
        <w:ind w:hanging="0" w:start="709"/>
        <w:rPr/>
      </w:pPr>
      <w:r>
        <w:rPr/>
        <w:t>In respect of an Option, the seller of the Option (the "</w:t>
      </w:r>
      <w:r>
        <w:rPr>
          <w:b/>
        </w:rPr>
        <w:t>Writer</w:t>
      </w:r>
      <w:r>
        <w:rPr/>
        <w:t>") grants to the purchaser of the Option (the "</w:t>
      </w:r>
      <w:r>
        <w:rPr>
          <w:b/>
        </w:rPr>
        <w:t>Holder</w:t>
      </w:r>
      <w:r>
        <w:rPr/>
        <w:t xml:space="preserve">") the right, but not the obligation, exercisable by complying with the provisions of Clause 5.3, to require each Party to enter into an NBP Transaction and on any other terms set out in the applicable Option Confirmation.  </w:t>
      </w:r>
    </w:p>
    <w:p>
      <w:pPr>
        <w:pStyle w:val="Level2"/>
        <w:numPr>
          <w:ilvl w:val="1"/>
          <w:numId w:val="12"/>
        </w:numPr>
        <w:ind w:hanging="0" w:start="709"/>
        <w:rPr/>
      </w:pPr>
      <w:r>
        <w:rPr/>
        <w:t>On the effective exercise of the Option an NBP Transaction shall arise between the Parties in accordance with the Option Confirmation in accordance with NBP 97 as amended and supplemented under this Agreement, except that Clauses 2.1 to 2.6 of NBP 97  as amended in accordance with Clause 5.5 shall  apply to the Transaction to the extent that the Option Confirmation constitutes a Confirmation in respect of the Transaction.</w:t>
      </w:r>
    </w:p>
    <w:p>
      <w:pPr>
        <w:pStyle w:val="Level2"/>
        <w:numPr>
          <w:ilvl w:val="1"/>
          <w:numId w:val="12"/>
        </w:numPr>
        <w:ind w:hanging="0" w:start="709"/>
        <w:rPr/>
      </w:pPr>
      <w:r>
        <w:rPr/>
        <w:t>Provided it has paid the Premium, if due and payable, the Holder of an Option may exercise its rights under the Option by giving the Writer irrevocable notice (in accordance with Clause 5.4) of such exercise during the Exercise Period, by the Exercise Deadline. Unless otherwise agreed, if no Exercise Deadline is specified in respect of an Option, the Exercise Deadline shall be 17:00 am London time.</w:t>
      </w:r>
    </w:p>
    <w:p>
      <w:pPr>
        <w:pStyle w:val="Level2"/>
        <w:numPr>
          <w:ilvl w:val="1"/>
          <w:numId w:val="12"/>
        </w:numPr>
        <w:ind w:hanging="0" w:start="709"/>
        <w:rPr/>
      </w:pPr>
      <w:r>
        <w:rPr/>
        <w:t>Each notice of exercise under Clause 5.3, shall be effective upon receipt by the Writer and may be given in writing or orally, provided that exercise may not be effected by e-mail and verbal exercise may not be effected by leaving a message on a voice mail or similar verbal electronic messaging system. In the case of verbal exercise, the Holder shall promptly confirm the exercise in writing, provided that such written confirmation is not a prerequisite to the validity of verbal exercise.  In the case of written notice of exercise, such notice shall be effective in accordance with Clause 16 of NBP 97, except that references to "Transaction" shall be read and construed as "Option".</w:t>
      </w:r>
    </w:p>
    <w:p>
      <w:pPr>
        <w:pStyle w:val="Level2"/>
        <w:numPr>
          <w:ilvl w:val="1"/>
          <w:numId w:val="12"/>
        </w:numPr>
        <w:ind w:hanging="0" w:start="709"/>
        <w:rPr/>
      </w:pPr>
      <w:r>
        <w:rPr/>
        <w:t>Clauses 2.1 to 2.6 of NBP 97 shall apply in respect of an Option Confirmation, except that references in each such provision to "Transaction" shall be read and construed as "Option" and references to a "Confirmation" shall be read and construed as "Option Confirmation".</w:t>
      </w:r>
    </w:p>
    <w:p>
      <w:pPr>
        <w:pStyle w:val="Level2"/>
        <w:numPr>
          <w:ilvl w:val="1"/>
          <w:numId w:val="12"/>
        </w:numPr>
        <w:ind w:hanging="0" w:start="709"/>
        <w:rPr/>
      </w:pPr>
      <w:r>
        <w:rPr/>
        <w:t>Clause 5.2 of NBP 97 shall be incorporated in this Agreement and shall apply in respect of an Option, except that references in such provision to "NBP Trade" shall be read and construed as "Option".</w:t>
      </w:r>
    </w:p>
    <w:p>
      <w:pPr>
        <w:pStyle w:val="Level1"/>
        <w:keepNext w:val="true"/>
        <w:numPr>
          <w:ilvl w:val="0"/>
          <w:numId w:val="12"/>
        </w:numPr>
        <w:spacing w:before="240" w:after="210"/>
        <w:ind w:hanging="0" w:start="0"/>
        <w:rPr>
          <w:rStyle w:val="Heading1Text"/>
        </w:rPr>
      </w:pPr>
      <w:r>
        <w:fldChar w:fldCharType="begin"/>
      </w:r>
      <w:r>
        <w:rPr/>
        <w:instrText xml:space="preserve"> TC "_x0013_ REF _Ref513554337 \r  \* MERGEFORMAT _x0014_6" \l 1 </w:instrText>
      </w:r>
      <w:r>
        <w:rPr/>
        <w:fldChar w:fldCharType="separate"/>
      </w:r>
      <w:r>
        <w:rPr/>
      </w:r>
      <w:r>
        <w:rPr/>
        <w:fldChar w:fldCharType="end"/>
      </w:r>
      <w:bookmarkStart w:id="12" w:name="__RefHeading___Toc529165729"/>
      <w:bookmarkStart w:id="13" w:name="_Ref511038202"/>
      <w:r>
        <w:rPr/>
        <w:fldChar w:fldCharType="begin"/>
      </w:r>
      <w:r>
        <w:rPr/>
        <w:instrText xml:space="preserve"> REF _Ref513554337 \r \r \h </w:instrText>
      </w:r>
      <w:r>
        <w:rPr/>
        <w:fldChar w:fldCharType="separate"/>
      </w:r>
      <w:r>
        <w:rPr/>
        <w:t>6</w:t>
      </w:r>
      <w:r>
        <w:rPr/>
        <w:fldChar w:fldCharType="end"/>
      </w:r>
      <w:bookmarkStart w:id="14" w:name="_Ref513554337"/>
      <w:bookmarkEnd w:id="12"/>
      <w:r>
        <w:rPr>
          <w:rStyle w:val="Heading1Text"/>
        </w:rPr>
        <w:t>Price, Billing and Payment</w:t>
      </w:r>
      <w:bookmarkEnd w:id="13"/>
      <w:bookmarkEnd w:id="14"/>
    </w:p>
    <w:p>
      <w:pPr>
        <w:pStyle w:val="Level2"/>
        <w:keepNext w:val="true"/>
        <w:numPr>
          <w:ilvl w:val="1"/>
          <w:numId w:val="12"/>
        </w:numPr>
        <w:ind w:hanging="0" w:start="709"/>
        <w:rPr/>
      </w:pPr>
      <w:r>
        <w:rPr/>
        <w:t>Payments shall be made in respect of Transactions as follows:</w:t>
      </w:r>
    </w:p>
    <w:p>
      <w:pPr>
        <w:pStyle w:val="Level3"/>
        <w:ind w:hanging="709" w:start="709" w:end="0"/>
        <w:rPr/>
      </w:pPr>
      <w:r>
        <w:rPr/>
        <w:t>(a)</w:t>
        <w:tab/>
        <w:t>in the case of an NBP Transaction, the Buyer shall pay the Seller the Contract Price for the quantities which are the subject of NBP Trades pursuant to the Transaction;</w:t>
      </w:r>
    </w:p>
    <w:p>
      <w:pPr>
        <w:pStyle w:val="Level3"/>
        <w:ind w:hanging="709" w:start="709" w:end="0"/>
        <w:rPr/>
      </w:pPr>
      <w:r>
        <w:rPr/>
        <w:t>(b)</w:t>
        <w:tab/>
        <w:t xml:space="preserve">in the case of an Option, the Holder shall pay the Writer the Premium for the Option on or before the Premium Payment Date (and if no Premium Payment Date is designated in the Option Confirmation, such Premium shall be due and payable on the second (2nd) Banking Day following the day on which the Parties entered into the Option). </w:t>
      </w:r>
    </w:p>
    <w:p>
      <w:pPr>
        <w:pStyle w:val="Level2"/>
        <w:numPr>
          <w:ilvl w:val="1"/>
          <w:numId w:val="12"/>
        </w:numPr>
        <w:ind w:hanging="0" w:start="709"/>
        <w:rPr/>
      </w:pPr>
      <w:r>
        <w:rPr/>
        <w:t>In the case of an NBP Transaction, the provisions of clause 6.1 of NBP 97 shall apply, on the basis set out in clause 4.2.</w:t>
      </w:r>
    </w:p>
    <w:p>
      <w:pPr>
        <w:pStyle w:val="Level2"/>
        <w:numPr>
          <w:ilvl w:val="1"/>
          <w:numId w:val="12"/>
        </w:numPr>
        <w:ind w:hanging="0" w:start="709"/>
        <w:rPr/>
      </w:pPr>
      <w:r>
        <w:rPr/>
        <w:t>Each Party shall promptly furnish to the other a valid VAT invoice for any amounts which are payable to it and which are subject to VAT.</w:t>
      </w:r>
    </w:p>
    <w:p>
      <w:pPr>
        <w:pStyle w:val="Level2"/>
        <w:numPr>
          <w:ilvl w:val="1"/>
          <w:numId w:val="12"/>
        </w:numPr>
        <w:ind w:hanging="0" w:start="709"/>
        <w:rPr/>
      </w:pPr>
      <w:r>
        <w:rPr/>
        <w:t>Any amounts which would, but for this clause  6.4, be due and payable on the same day in respect of any Transactions shall automatically be consolidated to produce a single amount, calculated by deducting from the greater aggregate amount which would (but for this clause  6.4) be payable from one Party to the other, the lesser such amount, and the resulting net sum shall be paid by whichever Party would, but for this clause  6.4, have been required to pay the greater aggregate amount.</w:t>
      </w:r>
    </w:p>
    <w:p>
      <w:pPr>
        <w:pStyle w:val="Level2"/>
        <w:numPr>
          <w:ilvl w:val="1"/>
          <w:numId w:val="12"/>
        </w:numPr>
        <w:ind w:hanging="0" w:start="709"/>
        <w:rPr/>
      </w:pPr>
      <w:r>
        <w:rPr/>
        <w:t>Each Party reserves to itself all rights, set-offs, counterclaims and other remedies and defences (to the extent not expressly herein waived) which such Party has or may be entitled to arising from or out of this Agreement, and any obligation of a Party hereunder to make any payment to the other Party may be off-set against any such obligation of the other Party.</w:t>
      </w:r>
    </w:p>
    <w:p>
      <w:pPr>
        <w:pStyle w:val="Level2"/>
        <w:numPr>
          <w:ilvl w:val="1"/>
          <w:numId w:val="12"/>
        </w:numPr>
        <w:ind w:hanging="0" w:start="709"/>
        <w:rPr/>
      </w:pPr>
      <w:r>
        <w:rPr/>
        <w:t>The Parties' obligations in relation to Taxes are set out in Clauses 6.7, 6.8 and Schedule 3.</w:t>
      </w:r>
    </w:p>
    <w:p>
      <w:pPr>
        <w:pStyle w:val="Level2"/>
        <w:numPr>
          <w:ilvl w:val="1"/>
          <w:numId w:val="12"/>
        </w:numPr>
        <w:ind w:hanging="0" w:start="709"/>
        <w:rPr/>
      </w:pPr>
      <w:r>
        <w:rPr/>
        <w:t>All payments under a Transaction will be made without any withholding of or deduction for or on account of any Tax unless such withholding or deduction is required by law.  If a Party is so required to withhold or deduct Tax from a payment to be made by it, then that Party ("</w:t>
      </w:r>
      <w:r>
        <w:rPr>
          <w:b/>
        </w:rPr>
        <w:t>Party A</w:t>
      </w:r>
      <w:r>
        <w:rPr/>
        <w:t>") will notify the other Party ("</w:t>
      </w:r>
      <w:r>
        <w:rPr>
          <w:b/>
        </w:rPr>
        <w:t>Party B</w:t>
      </w:r>
      <w:r>
        <w:rPr/>
        <w:t>") immediately of such requirement and pay to the appropriate authorities all amounts withheld or deducted by it.  If a receipt or other evidence can be issued evidencing the payment to the authorities, Party A will deliver such evidence (or a certified copy thereof) to Party B.</w:t>
      </w:r>
    </w:p>
    <w:p>
      <w:pPr>
        <w:pStyle w:val="Level2"/>
        <w:numPr>
          <w:ilvl w:val="1"/>
          <w:numId w:val="12"/>
        </w:numPr>
        <w:ind w:hanging="0" w:start="709"/>
        <w:rPr/>
      </w:pPr>
      <w:r>
        <w:rPr/>
        <w:t>Party A will increase the amount of any payment which is required to be made subject to a withholding or deduction to the extent necessary to ensure that, after the making of the required withholding or deduction, Party B receives the same amount it would have received had no such withholding or deduction been made or required to be made, except that no increase shall be made in respect of any Tax:</w:t>
      </w:r>
    </w:p>
    <w:p>
      <w:pPr>
        <w:pStyle w:val="ListAlpha1"/>
        <w:numPr>
          <w:ilvl w:val="0"/>
          <w:numId w:val="0"/>
        </w:numPr>
        <w:spacing w:lineRule="auto" w:line="264"/>
        <w:ind w:hanging="794" w:start="1418" w:end="0"/>
        <w:rPr>
          <w:rFonts w:ascii="Arial" w:hAnsi="Arial" w:cs="Arial"/>
          <w:sz w:val="21"/>
        </w:rPr>
      </w:pPr>
      <w:r>
        <w:rPr>
          <w:rFonts w:cs="Arial" w:ascii="Arial" w:hAnsi="Arial"/>
          <w:sz w:val="21"/>
        </w:rPr>
        <w:t>(a)</w:t>
        <w:tab/>
        <w:t>which would not have been imposed but for a connection between Party B and the jurisdiction of the authority imposing the Tax (including, without limitation, a connection arising from Party B having or having had a permanent establishment or other fixed place of business in that jurisdiction) other than the mere execution or delivery of this Agreement; or</w:t>
      </w:r>
    </w:p>
    <w:p>
      <w:pPr>
        <w:pStyle w:val="ListAlpha1"/>
        <w:numPr>
          <w:ilvl w:val="0"/>
          <w:numId w:val="0"/>
        </w:numPr>
        <w:spacing w:lineRule="auto" w:line="264"/>
        <w:ind w:hanging="794" w:start="1418" w:end="0"/>
        <w:rPr>
          <w:rFonts w:ascii="Arial" w:hAnsi="Arial" w:cs="Arial"/>
          <w:sz w:val="21"/>
        </w:rPr>
      </w:pPr>
      <w:r>
        <w:rPr>
          <w:rFonts w:cs="Arial" w:ascii="Arial" w:hAnsi="Arial"/>
          <w:sz w:val="21"/>
        </w:rPr>
        <w:t>(b)</w:t>
        <w:tab/>
        <w:t>which could have been avoided but for the failure by Party B to deliver to Party A or to the appropriate authority as reasonably requested by Party A, any declaration, certificate, or other documents specified in Schedule 1 in a form reasonably satisfactory to Party A; or</w:t>
      </w:r>
    </w:p>
    <w:p>
      <w:pPr>
        <w:pStyle w:val="ListAlpha1"/>
        <w:numPr>
          <w:ilvl w:val="0"/>
          <w:numId w:val="0"/>
        </w:numPr>
        <w:spacing w:lineRule="auto" w:line="264"/>
        <w:ind w:hanging="794" w:start="1418" w:end="0"/>
        <w:rPr>
          <w:rFonts w:ascii="Arial" w:hAnsi="Arial" w:cs="Arial"/>
          <w:sz w:val="21"/>
        </w:rPr>
      </w:pPr>
      <w:r>
        <w:rPr>
          <w:rFonts w:cs="Arial" w:ascii="Arial" w:hAnsi="Arial"/>
          <w:sz w:val="21"/>
        </w:rPr>
        <w:t>(c)</w:t>
        <w:tab/>
        <w:t>which would not have been imposed but for any representation made by Party B as the Party to be paid for the purposes of Schedule 5 (g) failing or ceasing to be true and accurate provided that this sub-paragraph (c) shall not apply (and Party A shall be obliged to increase the amount of any payment pursuant to Clause 6.7) if such representation has failed or ceased to be true and accurate by reason of:</w:t>
      </w:r>
    </w:p>
    <w:p>
      <w:pPr>
        <w:pStyle w:val="LISTALPHACAPS3"/>
        <w:numPr>
          <w:ilvl w:val="4"/>
          <w:numId w:val="13"/>
        </w:numPr>
        <w:spacing w:lineRule="auto" w:line="264"/>
        <w:ind w:hanging="0" w:start="0"/>
        <w:rPr>
          <w:rFonts w:ascii="Arial" w:hAnsi="Arial" w:cs="Arial"/>
          <w:sz w:val="21"/>
        </w:rPr>
      </w:pPr>
      <w:r>
        <w:rPr>
          <w:rFonts w:cs="Arial" w:ascii="Arial" w:hAnsi="Arial"/>
          <w:sz w:val="21"/>
        </w:rPr>
        <w:t>any change in, or in the application or interpretation of, any relevant law, enactment, directive, or published practice of any relevant Tax authority occurring on or after the date on which the relevant Transaction is entered into; or</w:t>
      </w:r>
    </w:p>
    <w:p>
      <w:pPr>
        <w:pStyle w:val="LISTALPHACAPS3"/>
        <w:numPr>
          <w:ilvl w:val="4"/>
          <w:numId w:val="13"/>
        </w:numPr>
        <w:spacing w:lineRule="auto" w:line="264"/>
        <w:ind w:hanging="0" w:start="0"/>
        <w:rPr>
          <w:rFonts w:ascii="Arial" w:hAnsi="Arial" w:cs="Arial"/>
          <w:sz w:val="21"/>
        </w:rPr>
      </w:pPr>
      <w:r>
        <w:rPr>
          <w:rFonts w:cs="Arial" w:ascii="Arial" w:hAnsi="Arial"/>
          <w:sz w:val="21"/>
        </w:rPr>
        <w:t>any action taken by a Tax authority, or brought in a court of competent jurisdiction, on or after the date on which the relevant Transaction is entered into.</w:t>
      </w:r>
    </w:p>
    <w:p>
      <w:pPr>
        <w:pStyle w:val="Level2"/>
        <w:numPr>
          <w:ilvl w:val="1"/>
          <w:numId w:val="12"/>
        </w:numPr>
        <w:ind w:hanging="0" w:start="709"/>
        <w:rPr/>
      </w:pPr>
      <w:r>
        <w:rPr/>
        <w:t>If the Contract Price is determined by reference to any of the Pricing Indices or any other reference price index (a "</w:t>
      </w:r>
      <w:r>
        <w:rPr>
          <w:b/>
        </w:rPr>
        <w:t>Price Index</w:t>
      </w:r>
      <w:r>
        <w:rPr/>
        <w:t>"), and in the event that on any day which is relevant for calculating the Contract Price (a "</w:t>
      </w:r>
      <w:r>
        <w:rPr>
          <w:b/>
        </w:rPr>
        <w:t>Trading Day</w:t>
      </w:r>
      <w:r>
        <w:rPr/>
        <w:t>") there is a Market Disruption Event in respect of the relevant Price Index, the Parties shall promptly negotiate in good faith to agree the value of that Price Index, or a method for determining that Price Index, for that Trading Day and if the Parties have not so agreed on or before the 3rd Banking Day following that Trading Day, forthwith each Party shall at its own cost and in good faith obtain an estimate for the value of that Price Index for that Trading Day from a recognised independent leading dealer in the relevant market and for the purposes of calculating the Contract Price, the value of that Price Index for that Trading Day shall be the arithmetic mean of such estimates, provided that if such leading dealers are unwilling or unable to provide an estimate within 1 Banking Day of such request or within 4 Banking Days of that Trading Day, the value of that Price Index for that Trading Day shall be the estimate provided by either one of such dealers and absent any estimate shall be as determined by the Expert.</w:t>
      </w:r>
    </w:p>
    <w:p>
      <w:pPr>
        <w:pStyle w:val="Level2"/>
        <w:numPr>
          <w:ilvl w:val="1"/>
          <w:numId w:val="12"/>
        </w:numPr>
        <w:ind w:hanging="0" w:start="709"/>
        <w:rPr/>
      </w:pPr>
      <w:r>
        <w:rPr/>
        <w:t>For the purposes of Clause 6.9 a "</w:t>
      </w:r>
      <w:r>
        <w:rPr>
          <w:b/>
        </w:rPr>
        <w:t>Market Disruption Event</w:t>
      </w:r>
      <w:r>
        <w:rPr/>
        <w:t>" shall mean (a) a failure to commence, a material suspension or a permanent discontinuation of trading in the relevant futures contract, options contract or commodity on the exchange or market that is relevant for the purposes of calculating the Price Index, (b) in respect of a futures contract, options contract or commodity traded on an exchange or market that is relevant for the purposes of calculating the Price Index: (i) material limitations being imposed on trading in the relevant futures contract, options contract or commodity; or (ii) the relevant exchange or market, trading in such futures contract or options contract or commodity, suffers a material reduction in market share such that its closing or settlement price is materially distorted, (iii) a material change in the formula for or the method of calculating the Price Index, or (iv) a material change in the content, composition or constitution of the relevant commodity.</w:t>
      </w:r>
    </w:p>
    <w:p>
      <w:pPr>
        <w:pStyle w:val="Level1"/>
        <w:keepNext w:val="true"/>
        <w:numPr>
          <w:ilvl w:val="0"/>
          <w:numId w:val="12"/>
        </w:numPr>
        <w:spacing w:before="240" w:after="210"/>
        <w:ind w:hanging="0" w:start="0"/>
        <w:rPr>
          <w:rStyle w:val="Heading1Text"/>
        </w:rPr>
      </w:pPr>
      <w:r>
        <w:fldChar w:fldCharType="begin"/>
      </w:r>
      <w:r>
        <w:rPr/>
        <w:instrText xml:space="preserve"> TC "_x0013_ REF _Ref514662139 \r  \* MERGEFORMAT _x0014_7" \l 1 </w:instrText>
      </w:r>
      <w:r>
        <w:rPr/>
        <w:fldChar w:fldCharType="separate"/>
      </w:r>
      <w:r>
        <w:rPr/>
      </w:r>
      <w:r>
        <w:rPr/>
        <w:fldChar w:fldCharType="end"/>
      </w:r>
      <w:bookmarkStart w:id="15" w:name="__RefHeading___Toc529165730"/>
      <w:bookmarkStart w:id="16" w:name="_Ref513552584"/>
      <w:bookmarkStart w:id="17" w:name="_Ref513520896"/>
      <w:bookmarkStart w:id="18" w:name="_Ref511038205"/>
      <w:bookmarkEnd w:id="17"/>
      <w:bookmarkEnd w:id="18"/>
      <w:r>
        <w:rPr/>
        <w:fldChar w:fldCharType="begin"/>
      </w:r>
      <w:r>
        <w:rPr/>
        <w:instrText xml:space="preserve"> REF _Ref514662139 \r \r \h </w:instrText>
      </w:r>
      <w:r>
        <w:rPr/>
        <w:fldChar w:fldCharType="separate"/>
      </w:r>
      <w:r>
        <w:rPr/>
        <w:t>7</w:t>
      </w:r>
      <w:r>
        <w:rPr/>
        <w:fldChar w:fldCharType="end"/>
      </w:r>
      <w:bookmarkStart w:id="19" w:name="_Ref514662139"/>
      <w:bookmarkEnd w:id="15"/>
      <w:r>
        <w:rPr>
          <w:rStyle w:val="Heading1Text"/>
        </w:rPr>
        <w:t>Limitation on Force Majeure Relief</w:t>
      </w:r>
      <w:bookmarkEnd w:id="16"/>
      <w:bookmarkEnd w:id="19"/>
    </w:p>
    <w:p>
      <w:pPr>
        <w:pStyle w:val="Body2"/>
        <w:keepNext w:val="true"/>
        <w:rPr/>
      </w:pPr>
      <w:r>
        <w:rPr/>
        <w:t>Force Majeure relief shall, for each Transaction, be limited:</w:t>
      </w:r>
    </w:p>
    <w:p>
      <w:pPr>
        <w:pStyle w:val="Level3"/>
        <w:rPr/>
      </w:pPr>
      <w:r>
        <w:rPr/>
        <w:t>(a)</w:t>
        <w:tab/>
        <w:t>in respect of any Supply Period of exactly 12 Months; or</w:t>
      </w:r>
    </w:p>
    <w:p>
      <w:pPr>
        <w:pStyle w:val="Level3"/>
        <w:ind w:hanging="709" w:start="709" w:end="0"/>
        <w:rPr/>
      </w:pPr>
      <w:r>
        <w:rPr/>
        <w:t>(b)</w:t>
        <w:tab/>
        <w:t>in respect of any period of 12 Months during a Supply Period, beginning on the first Day, or any anniversary of the commencement, of such Supply Period;</w:t>
      </w:r>
    </w:p>
    <w:p>
      <w:pPr>
        <w:pStyle w:val="Body2"/>
        <w:rPr/>
      </w:pPr>
      <w:r>
        <w:rPr/>
        <w:t>to 60 Days in aggregate; and</w:t>
      </w:r>
    </w:p>
    <w:p>
      <w:pPr>
        <w:pStyle w:val="Level3"/>
        <w:rPr/>
      </w:pPr>
      <w:r>
        <w:rPr/>
        <w:t>(c)</w:t>
        <w:tab/>
        <w:t>in respect of any Supply Period of less than 12 Months; or</w:t>
      </w:r>
    </w:p>
    <w:p>
      <w:pPr>
        <w:pStyle w:val="Level3"/>
        <w:ind w:hanging="709" w:start="709" w:end="0"/>
        <w:rPr/>
      </w:pPr>
      <w:r>
        <w:rPr/>
        <w:t>(d)</w:t>
        <w:tab/>
        <w:t>in respect of any period of less than 12 Months during a Supply Period, beginning on any anniversary of the commencement of such Supply Period and ending with its termination;</w:t>
      </w:r>
    </w:p>
    <w:p>
      <w:pPr>
        <w:pStyle w:val="Body2"/>
        <w:rPr/>
      </w:pPr>
      <w:r>
        <w:rPr/>
        <w:t>to an aggregate number of Days which to the nearest whole Day (rounded upwards if not a whole number of Days) is, as a proportion of 60, equal to the proportion of 365 represented by the number of Days during the relevant period.</w:t>
      </w:r>
    </w:p>
    <w:p>
      <w:pPr>
        <w:pStyle w:val="Level1"/>
        <w:numPr>
          <w:ilvl w:val="0"/>
          <w:numId w:val="12"/>
        </w:numPr>
        <w:spacing w:before="240" w:after="210"/>
        <w:ind w:hanging="0" w:start="0"/>
        <w:rPr>
          <w:rStyle w:val="Heading1Text"/>
        </w:rPr>
      </w:pPr>
      <w:r>
        <w:fldChar w:fldCharType="begin"/>
      </w:r>
      <w:r>
        <w:rPr/>
        <w:instrText xml:space="preserve"> TC "_x0013_ REF _Ref516286373 \r _x0014_8" \l 1 </w:instrText>
      </w:r>
      <w:r>
        <w:rPr/>
        <w:fldChar w:fldCharType="separate"/>
      </w:r>
      <w:r>
        <w:rPr/>
      </w:r>
      <w:r>
        <w:rPr/>
        <w:fldChar w:fldCharType="end"/>
      </w:r>
      <w:bookmarkStart w:id="20" w:name="_Ref513520896"/>
      <w:bookmarkStart w:id="21" w:name="_Ref511038205"/>
      <w:bookmarkStart w:id="22" w:name="__RefHeading___Toc529165731"/>
      <w:bookmarkEnd w:id="20"/>
      <w:bookmarkEnd w:id="21"/>
      <w:r>
        <w:rPr/>
        <w:fldChar w:fldCharType="begin"/>
      </w:r>
      <w:r>
        <w:rPr/>
        <w:instrText xml:space="preserve"> REF _Ref516286373 \r \r \h </w:instrText>
      </w:r>
      <w:r>
        <w:rPr/>
        <w:fldChar w:fldCharType="separate"/>
      </w:r>
      <w:r>
        <w:rPr/>
        <w:t>8</w:t>
      </w:r>
      <w:r>
        <w:rPr/>
        <w:fldChar w:fldCharType="end"/>
      </w:r>
      <w:bookmarkStart w:id="23" w:name="_Ref516286373"/>
      <w:bookmarkEnd w:id="22"/>
      <w:r>
        <w:rPr>
          <w:rStyle w:val="Heading1Text"/>
        </w:rPr>
        <w:t>Credit, Suspension and Termination</w:t>
      </w:r>
      <w:bookmarkEnd w:id="23"/>
    </w:p>
    <w:p>
      <w:pPr>
        <w:pStyle w:val="Body2"/>
        <w:rPr/>
      </w:pPr>
      <w:r>
        <w:rPr/>
        <w:t>The provisions of Schedule 4 relating to credit, suspension and termination shall apply.</w:t>
      </w:r>
    </w:p>
    <w:p>
      <w:pPr>
        <w:pStyle w:val="Level1"/>
        <w:numPr>
          <w:ilvl w:val="0"/>
          <w:numId w:val="12"/>
        </w:numPr>
        <w:spacing w:before="240" w:after="210"/>
        <w:ind w:hanging="0" w:start="0"/>
        <w:rPr>
          <w:rStyle w:val="Heading1Text"/>
        </w:rPr>
      </w:pPr>
      <w:r>
        <w:fldChar w:fldCharType="begin"/>
      </w:r>
      <w:r>
        <w:rPr/>
        <w:instrText xml:space="preserve"> TC "_x0013_ REF _Ref514662159 \r  \* MERGEFORMAT _x0014_9" \l 1 </w:instrText>
      </w:r>
      <w:r>
        <w:rPr/>
        <w:fldChar w:fldCharType="separate"/>
      </w:r>
      <w:r>
        <w:rPr/>
      </w:r>
      <w:r>
        <w:rPr/>
        <w:fldChar w:fldCharType="end"/>
      </w:r>
      <w:bookmarkStart w:id="24" w:name="__RefHeading___Toc529165732"/>
      <w:bookmarkStart w:id="25" w:name="_Ref513552624"/>
      <w:bookmarkStart w:id="26" w:name="_Ref511038207"/>
      <w:r>
        <w:rPr/>
        <w:fldChar w:fldCharType="begin"/>
      </w:r>
      <w:r>
        <w:rPr/>
        <w:instrText xml:space="preserve"> REF _Ref514662159 \r \r \h </w:instrText>
      </w:r>
      <w:r>
        <w:rPr/>
        <w:fldChar w:fldCharType="separate"/>
      </w:r>
      <w:r>
        <w:rPr/>
        <w:t>9</w:t>
      </w:r>
      <w:r>
        <w:rPr/>
        <w:fldChar w:fldCharType="end"/>
      </w:r>
      <w:bookmarkStart w:id="27" w:name="_Ref514662159"/>
      <w:bookmarkEnd w:id="24"/>
      <w:r>
        <w:rPr>
          <w:rStyle w:val="Heading1Text"/>
        </w:rPr>
        <w:t>Parties to Co-operate, etc</w:t>
      </w:r>
      <w:bookmarkEnd w:id="25"/>
      <w:bookmarkEnd w:id="26"/>
      <w:bookmarkEnd w:id="27"/>
    </w:p>
    <w:p>
      <w:pPr>
        <w:pStyle w:val="Level2"/>
        <w:numPr>
          <w:ilvl w:val="1"/>
          <w:numId w:val="12"/>
        </w:numPr>
        <w:ind w:hanging="0" w:start="709"/>
        <w:rPr/>
      </w:pPr>
      <w:r>
        <w:rPr/>
        <w:t>Each of the Parties shall co-operate with the other in the performance of this Agreement, including in relation to the making of Trade Nominations , and the Parties shall agree such further rules and procedures as may be necessary or desirable for such purposes.</w:t>
      </w:r>
    </w:p>
    <w:p>
      <w:pPr>
        <w:pStyle w:val="Level2"/>
        <w:numPr>
          <w:ilvl w:val="1"/>
          <w:numId w:val="12"/>
        </w:numPr>
        <w:ind w:hanging="0" w:start="709"/>
        <w:rPr/>
      </w:pPr>
      <w:r>
        <w:rPr/>
        <w:t>If there shall be any disagreement as to the way in which any of the provisions of this Agreement should be implemented, the matter shall be referred to an Expert for determination in accordance with clause 12.</w:t>
      </w:r>
    </w:p>
    <w:p>
      <w:pPr>
        <w:pStyle w:val="Level1"/>
        <w:numPr>
          <w:ilvl w:val="0"/>
          <w:numId w:val="12"/>
        </w:numPr>
        <w:spacing w:before="240" w:after="210"/>
        <w:ind w:hanging="0" w:start="0"/>
        <w:rPr>
          <w:rStyle w:val="Heading1Text"/>
        </w:rPr>
      </w:pPr>
      <w:r>
        <w:fldChar w:fldCharType="begin"/>
      </w:r>
      <w:r>
        <w:rPr/>
        <w:instrText xml:space="preserve"> TC "_x0013_ REF _Ref513552628 \r  \* MERGEFORMAT _x0014_10" \l 1 </w:instrText>
      </w:r>
      <w:r>
        <w:rPr/>
        <w:fldChar w:fldCharType="separate"/>
      </w:r>
      <w:r>
        <w:rPr/>
      </w:r>
      <w:r>
        <w:rPr/>
        <w:fldChar w:fldCharType="end"/>
      </w:r>
      <w:bookmarkStart w:id="28" w:name="__RefHeading___Toc529165733"/>
      <w:bookmarkStart w:id="29" w:name="_Ref511038210"/>
      <w:r>
        <w:rPr/>
        <w:fldChar w:fldCharType="begin"/>
      </w:r>
      <w:r>
        <w:rPr/>
        <w:instrText xml:space="preserve"> REF _Ref513552628 \r \r \h </w:instrText>
      </w:r>
      <w:r>
        <w:rPr/>
        <w:fldChar w:fldCharType="separate"/>
      </w:r>
      <w:r>
        <w:rPr/>
        <w:t>10</w:t>
      </w:r>
      <w:r>
        <w:rPr/>
        <w:fldChar w:fldCharType="end"/>
      </w:r>
      <w:bookmarkStart w:id="30" w:name="_Ref513552628"/>
      <w:bookmarkEnd w:id="28"/>
      <w:r>
        <w:rPr>
          <w:rStyle w:val="Heading1Text"/>
        </w:rPr>
        <w:t>Changes to Network Code</w:t>
      </w:r>
      <w:bookmarkEnd w:id="29"/>
      <w:bookmarkEnd w:id="30"/>
    </w:p>
    <w:p>
      <w:pPr>
        <w:pStyle w:val="Level2"/>
        <w:numPr>
          <w:ilvl w:val="1"/>
          <w:numId w:val="12"/>
        </w:numPr>
        <w:ind w:hanging="0" w:start="709"/>
        <w:rPr/>
      </w:pPr>
      <w:r>
        <w:rPr/>
        <w:t>If any changes shall be made to the Network Code which would affect the implementation of the provisions of this Agreement, the Parties shall seek to agree such amendments to this Agreement as may be necessary or appropriate to take account of such changes, so that this Agreement may continue in force achieving substantially the same commercial effect.</w:t>
      </w:r>
    </w:p>
    <w:p>
      <w:pPr>
        <w:pStyle w:val="Level2"/>
        <w:numPr>
          <w:ilvl w:val="1"/>
          <w:numId w:val="12"/>
        </w:numPr>
        <w:ind w:hanging="0" w:start="709"/>
        <w:rPr/>
      </w:pPr>
      <w:r>
        <w:rPr/>
        <w:t>If the Network Code is altered so that a User's imbalances are determined by reference to a period that is shorter than a Day, the terms applicable to each Transaction shall be modified to take account thereof, and for this purpose:</w:t>
      </w:r>
    </w:p>
    <w:p>
      <w:pPr>
        <w:pStyle w:val="Level3"/>
        <w:ind w:hanging="709" w:start="709" w:end="0"/>
        <w:rPr/>
      </w:pPr>
      <w:r>
        <w:rPr/>
        <w:t>(a)</w:t>
        <w:tab/>
        <w:t>the Daily Quantity for each Day shall be split equally between such shorter periods in each Day; and</w:t>
      </w:r>
    </w:p>
    <w:p>
      <w:pPr>
        <w:pStyle w:val="Level3"/>
        <w:ind w:hanging="709" w:start="709" w:end="0"/>
        <w:rPr/>
      </w:pPr>
      <w:r>
        <w:rPr/>
        <w:t>(b)</w:t>
        <w:tab/>
        <w:t>without prejudice to the generality of clause 10.1, the Parties shall seek to agree such amendments to this Agreement as may be necessary or appropriate to take account of such alteration to the Network Code, so that this Agreement may continue in force achieving substantially the same commercial effect.</w:t>
      </w:r>
    </w:p>
    <w:p>
      <w:pPr>
        <w:pStyle w:val="Level2"/>
        <w:numPr>
          <w:ilvl w:val="1"/>
          <w:numId w:val="12"/>
        </w:numPr>
        <w:ind w:hanging="0" w:start="709"/>
        <w:rPr/>
      </w:pPr>
      <w:r>
        <w:rPr/>
        <w:t>If the Parties are unable to agree on any amendments which should be made to this Agreement pursuant to clause 10.1 or 10.2, the matter shall be referred to an Expert for determination in accordance with clause 11.</w:t>
      </w:r>
    </w:p>
    <w:p>
      <w:pPr>
        <w:pStyle w:val="Level1"/>
        <w:keepNext w:val="true"/>
        <w:numPr>
          <w:ilvl w:val="0"/>
          <w:numId w:val="12"/>
        </w:numPr>
        <w:spacing w:before="240" w:after="210"/>
        <w:ind w:hanging="0" w:start="0"/>
        <w:rPr>
          <w:rStyle w:val="Heading1Text"/>
        </w:rPr>
      </w:pPr>
      <w:r>
        <w:fldChar w:fldCharType="begin"/>
      </w:r>
      <w:r>
        <w:rPr/>
        <w:instrText xml:space="preserve"> TC "_x0013_ REF _Ref514662187 \r  \* MERGEFORMAT _x0014_11" \l 1 </w:instrText>
      </w:r>
      <w:r>
        <w:rPr/>
        <w:fldChar w:fldCharType="separate"/>
      </w:r>
      <w:r>
        <w:rPr/>
      </w:r>
      <w:r>
        <w:rPr/>
        <w:fldChar w:fldCharType="end"/>
      </w:r>
      <w:bookmarkStart w:id="31" w:name="__RefHeading___Toc529165734"/>
      <w:bookmarkStart w:id="32" w:name="_Ref511038212"/>
      <w:r>
        <w:rPr/>
        <w:fldChar w:fldCharType="begin"/>
      </w:r>
      <w:r>
        <w:rPr/>
        <w:instrText xml:space="preserve"> REF _Ref514662187 \r \r \h </w:instrText>
      </w:r>
      <w:r>
        <w:rPr/>
        <w:fldChar w:fldCharType="separate"/>
      </w:r>
      <w:r>
        <w:rPr/>
        <w:t>11</w:t>
      </w:r>
      <w:r>
        <w:rPr/>
        <w:fldChar w:fldCharType="end"/>
      </w:r>
      <w:bookmarkStart w:id="33" w:name="_Ref514662187"/>
      <w:bookmarkEnd w:id="31"/>
      <w:r>
        <w:rPr>
          <w:rStyle w:val="Heading1Text"/>
        </w:rPr>
        <w:t>Expert</w:t>
      </w:r>
      <w:bookmarkEnd w:id="32"/>
      <w:bookmarkEnd w:id="33"/>
    </w:p>
    <w:p>
      <w:pPr>
        <w:pStyle w:val="Level2"/>
        <w:keepNext w:val="true"/>
        <w:numPr>
          <w:ilvl w:val="1"/>
          <w:numId w:val="12"/>
        </w:numPr>
        <w:ind w:hanging="0" w:start="709"/>
        <w:rPr/>
      </w:pPr>
      <w:r>
        <w:rPr/>
        <w:t>Where pursuant to this Agreement any matter is to be referred to an Expert, or the Parties agree that any matter shall be referred to an Expert (any such matter a "Referred Matter") the following provisions shall have effect:</w:t>
      </w:r>
    </w:p>
    <w:p>
      <w:pPr>
        <w:pStyle w:val="Level3"/>
        <w:ind w:hanging="709" w:start="709" w:end="0"/>
        <w:rPr/>
      </w:pPr>
      <w:r>
        <w:rPr/>
        <w:t>(a)</w:t>
        <w:tab/>
        <w:t>the expert chosen to determine the Referred Matter (the "Expert") shall be an independent person of suitable experience and skill agreed upon by both Parties or in lieu of such agreement, selected by the President for the time being of the Institute of Petroleum;</w:t>
      </w:r>
    </w:p>
    <w:p>
      <w:pPr>
        <w:pStyle w:val="Level3"/>
        <w:rPr/>
      </w:pPr>
      <w:r>
        <w:rPr/>
        <w:t>(b)</w:t>
        <w:tab/>
        <w:t>the Expert shall act as an expert and not as an arbitrator;</w:t>
      </w:r>
    </w:p>
    <w:p>
      <w:pPr>
        <w:pStyle w:val="Level3"/>
        <w:ind w:hanging="709" w:start="709" w:end="0"/>
        <w:rPr/>
      </w:pPr>
      <w:r>
        <w:rPr/>
        <w:t>(c)</w:t>
        <w:tab/>
        <w:t>the Parties shall meet with the Expert to agree the timetable and to determine the form of submissions to be made, the form of the hearing of the Referred Matter and the remuneration of the Expert, provided that if the Parties are unable to agree on any of these matters, the Expert shall determine the same, unless the Parties agree otherwise;</w:t>
      </w:r>
    </w:p>
    <w:p>
      <w:pPr>
        <w:pStyle w:val="Level3"/>
        <w:ind w:hanging="709" w:start="709" w:end="0"/>
        <w:rPr/>
      </w:pPr>
      <w:r>
        <w:rPr/>
        <w:t>(d)</w:t>
        <w:tab/>
        <w:t>each Party shall bear its own costs including without limitation the costs of providing documentation, information, data, submissions and expenses of all witnesses and other Persons retained by such Party;</w:t>
      </w:r>
    </w:p>
    <w:p>
      <w:pPr>
        <w:pStyle w:val="Level3"/>
        <w:ind w:hanging="709" w:start="709" w:end="0"/>
        <w:rPr/>
      </w:pPr>
      <w:r>
        <w:rPr/>
        <w:t>(e)</w:t>
        <w:tab/>
        <w:t>the Expert's fees and expenses shall be payable by the Parties in equal amounts, unless the Parties agree that the Expert may make a direction that such fees and expenses should be borne on some other basis;</w:t>
      </w:r>
    </w:p>
    <w:p>
      <w:pPr>
        <w:pStyle w:val="Level3"/>
        <w:rPr/>
      </w:pPr>
      <w:r>
        <w:rPr/>
        <w:t>(f)</w:t>
        <w:tab/>
        <w:t>the Expert's final determination shall be final and binding on the Parties;</w:t>
      </w:r>
    </w:p>
    <w:p>
      <w:pPr>
        <w:pStyle w:val="Level3"/>
        <w:ind w:hanging="709" w:start="709" w:end="0"/>
        <w:rPr/>
      </w:pPr>
      <w:r>
        <w:rPr/>
        <w:t>(g)</w:t>
        <w:tab/>
        <w:t>the Parties and the Expert shall keep confidential the fact that the expert determination is taking place, all documents and information relating thereto and its outcome.</w:t>
      </w:r>
    </w:p>
    <w:p>
      <w:pPr>
        <w:pStyle w:val="Level1"/>
        <w:numPr>
          <w:ilvl w:val="0"/>
          <w:numId w:val="12"/>
        </w:numPr>
        <w:spacing w:before="240" w:after="210"/>
        <w:ind w:hanging="0" w:start="0"/>
        <w:rPr>
          <w:rStyle w:val="Heading1Text"/>
        </w:rPr>
      </w:pPr>
      <w:r>
        <w:fldChar w:fldCharType="begin"/>
      </w:r>
      <w:r>
        <w:rPr/>
        <w:instrText xml:space="preserve"> TC "_x0013_ REF _Ref516286399 \r _x0014_12" \l 1 </w:instrText>
      </w:r>
      <w:r>
        <w:rPr/>
        <w:fldChar w:fldCharType="separate"/>
      </w:r>
      <w:r>
        <w:rPr/>
      </w:r>
      <w:r>
        <w:rPr/>
        <w:fldChar w:fldCharType="end"/>
      </w:r>
      <w:bookmarkStart w:id="34" w:name="__RefHeading___Toc529165735"/>
      <w:bookmarkStart w:id="35" w:name="_Ref514662508"/>
      <w:bookmarkStart w:id="36" w:name="_Ref513552652"/>
      <w:bookmarkStart w:id="37" w:name="_Ref511198771"/>
      <w:r>
        <w:rPr/>
        <w:fldChar w:fldCharType="begin"/>
      </w:r>
      <w:r>
        <w:rPr/>
        <w:instrText xml:space="preserve"> REF _Ref516286399 \r \r \h </w:instrText>
      </w:r>
      <w:r>
        <w:rPr/>
        <w:fldChar w:fldCharType="separate"/>
      </w:r>
      <w:r>
        <w:rPr/>
        <w:t>12</w:t>
      </w:r>
      <w:r>
        <w:rPr/>
        <w:fldChar w:fldCharType="end"/>
      </w:r>
      <w:bookmarkStart w:id="38" w:name="_Ref516286399"/>
      <w:bookmarkEnd w:id="34"/>
      <w:r>
        <w:rPr>
          <w:rStyle w:val="Heading1Text"/>
        </w:rPr>
        <w:t>Confidentiality</w:t>
      </w:r>
      <w:bookmarkEnd w:id="35"/>
      <w:bookmarkEnd w:id="36"/>
      <w:bookmarkEnd w:id="37"/>
      <w:bookmarkEnd w:id="38"/>
    </w:p>
    <w:p>
      <w:pPr>
        <w:pStyle w:val="Level2"/>
        <w:numPr>
          <w:ilvl w:val="1"/>
          <w:numId w:val="12"/>
        </w:numPr>
        <w:ind w:hanging="0" w:start="709"/>
        <w:rPr/>
      </w:pPr>
      <w:r>
        <w:rPr/>
        <w:t>The provisions of clause  8 of  NBP 97 shall apply on the basis set out in clause 4.2, subject to clauses 12.2 and 12.3.</w:t>
      </w:r>
    </w:p>
    <w:p>
      <w:pPr>
        <w:pStyle w:val="Level2"/>
        <w:keepNext w:val="true"/>
        <w:numPr>
          <w:ilvl w:val="1"/>
          <w:numId w:val="12"/>
        </w:numPr>
        <w:ind w:hanging="0" w:start="709"/>
        <w:rPr/>
      </w:pPr>
      <w:r>
        <w:rPr/>
        <w:t>In clause 8 of  NBP 97 the words "The terms and conditions of  the Transaction" shall be amended to read:</w:t>
      </w:r>
    </w:p>
    <w:p>
      <w:pPr>
        <w:pStyle w:val="Body3"/>
        <w:ind w:start="720" w:end="0"/>
        <w:rPr/>
      </w:pPr>
      <w:r>
        <w:rPr/>
        <w:t>"The terms and conditions of this Agreement (including the terms of each Transaction) and the terms related to any credit support ".</w:t>
      </w:r>
    </w:p>
    <w:p>
      <w:pPr>
        <w:pStyle w:val="Level2"/>
        <w:numPr>
          <w:ilvl w:val="1"/>
          <w:numId w:val="12"/>
        </w:numPr>
        <w:ind w:hanging="0" w:start="709"/>
        <w:rPr/>
      </w:pPr>
      <w:r>
        <w:rPr/>
        <w:t>At the end of clause  8.9 of  NBP 97 the full stop shall be replaced by a semi-colon, and new clauses  8.10 and  8.11 shall be added as follows:</w:t>
      </w:r>
    </w:p>
    <w:p>
      <w:pPr>
        <w:pStyle w:val="Body2"/>
        <w:ind w:hanging="1418" w:start="2836" w:end="0"/>
        <w:rPr/>
      </w:pPr>
      <w:r>
        <w:rPr/>
        <w:t>"8.10</w:t>
        <w:tab/>
        <w:t>to credit reference agencies;</w:t>
      </w:r>
    </w:p>
    <w:p>
      <w:pPr>
        <w:pStyle w:val="Body2"/>
        <w:ind w:hanging="1418" w:start="2836" w:end="0"/>
        <w:rPr/>
      </w:pPr>
      <w:r>
        <w:rPr>
          <w:rFonts w:eastAsia="Arial"/>
        </w:rPr>
        <w:t xml:space="preserve"> </w:t>
      </w:r>
      <w:r>
        <w:rPr/>
        <w:t>8.11</w:t>
        <w:tab/>
        <w:t>to providers of credit support in respect of a Party, provided that such persons undertake in writing to the disclosing Party to treat the confidential information as strictly confidential in accordance with this Clause 8;".</w:t>
      </w:r>
    </w:p>
    <w:p>
      <w:pPr>
        <w:pStyle w:val="Level1"/>
        <w:keepNext w:val="true"/>
        <w:numPr>
          <w:ilvl w:val="0"/>
          <w:numId w:val="12"/>
        </w:numPr>
        <w:spacing w:before="240" w:after="210"/>
        <w:ind w:hanging="0" w:start="0"/>
        <w:rPr>
          <w:rStyle w:val="Heading1Text"/>
        </w:rPr>
      </w:pPr>
      <w:r>
        <w:fldChar w:fldCharType="begin"/>
      </w:r>
      <w:r>
        <w:rPr/>
        <w:instrText xml:space="preserve"> TC "_x0013_ REF _Ref516286567 \r _x0014_13" \l 1 </w:instrText>
      </w:r>
      <w:r>
        <w:rPr/>
        <w:fldChar w:fldCharType="separate"/>
      </w:r>
      <w:r>
        <w:rPr/>
      </w:r>
      <w:r>
        <w:rPr/>
        <w:fldChar w:fldCharType="end"/>
      </w:r>
      <w:bookmarkStart w:id="39" w:name="__RefHeading___Toc529165736"/>
      <w:bookmarkStart w:id="40" w:name="_Ref514662526"/>
      <w:bookmarkStart w:id="41" w:name="_Ref513552658"/>
      <w:bookmarkStart w:id="42" w:name="_Ref511194372"/>
      <w:bookmarkStart w:id="43" w:name="_Ref511194240"/>
      <w:r>
        <w:rPr/>
        <w:fldChar w:fldCharType="begin"/>
      </w:r>
      <w:r>
        <w:rPr/>
        <w:instrText xml:space="preserve"> REF _Ref516286567 \r \r \h </w:instrText>
      </w:r>
      <w:r>
        <w:rPr/>
        <w:fldChar w:fldCharType="separate"/>
      </w:r>
      <w:r>
        <w:rPr/>
        <w:t>13</w:t>
      </w:r>
      <w:r>
        <w:rPr/>
        <w:fldChar w:fldCharType="end"/>
      </w:r>
      <w:bookmarkStart w:id="44" w:name="_Ref516286567"/>
      <w:bookmarkEnd w:id="39"/>
      <w:r>
        <w:rPr>
          <w:rStyle w:val="Heading1Text"/>
        </w:rPr>
        <w:t>Assignment</w:t>
      </w:r>
      <w:bookmarkEnd w:id="43"/>
      <w:r>
        <w:rPr>
          <w:rStyle w:val="Heading1Text"/>
        </w:rPr>
        <w:t xml:space="preserve"> and Delegation</w:t>
      </w:r>
      <w:bookmarkEnd w:id="40"/>
      <w:bookmarkEnd w:id="41"/>
      <w:bookmarkEnd w:id="42"/>
      <w:bookmarkEnd w:id="44"/>
    </w:p>
    <w:p>
      <w:pPr>
        <w:pStyle w:val="Level2"/>
        <w:numPr>
          <w:ilvl w:val="1"/>
          <w:numId w:val="12"/>
        </w:numPr>
        <w:ind w:hanging="0" w:start="709"/>
        <w:rPr/>
      </w:pPr>
      <w:r>
        <w:rPr/>
        <w:t>Either Party may assign its rights under this Agreement in relation to the financing of that Party's business activities.</w:t>
      </w:r>
    </w:p>
    <w:p>
      <w:pPr>
        <w:pStyle w:val="Level2"/>
        <w:numPr>
          <w:ilvl w:val="1"/>
          <w:numId w:val="12"/>
        </w:numPr>
        <w:ind w:hanging="0" w:start="709"/>
        <w:rPr/>
      </w:pPr>
      <w:r>
        <w:rPr/>
        <w:t>Subject to Clause 13.3, neither Party shall assign or transfer any of its rights or obligations under this Agreement (including under any Transaction) without the prior written consent of the other Party.</w:t>
      </w:r>
    </w:p>
    <w:p>
      <w:pPr>
        <w:pStyle w:val="Level2"/>
        <w:numPr>
          <w:ilvl w:val="1"/>
          <w:numId w:val="12"/>
        </w:numPr>
        <w:ind w:hanging="0" w:start="709"/>
        <w:rPr/>
      </w:pPr>
      <w:r>
        <w:rPr/>
        <w:t>Either Party may assign its rights under this Agreement to an Affiliate of such Party without the consent of the other Party, provided that the assigning Party shall be liable to perform any obligations hereunder not performed by the assignee.</w:t>
      </w:r>
    </w:p>
    <w:p>
      <w:pPr>
        <w:pStyle w:val="Level2"/>
        <w:numPr>
          <w:ilvl w:val="1"/>
          <w:numId w:val="12"/>
        </w:numPr>
        <w:ind w:hanging="0" w:start="709"/>
        <w:rPr/>
      </w:pPr>
      <w:r>
        <w:rPr/>
        <w:t>Each Party shall be free to delegate the performance of any of its obligations under this Agreement provided that the delegating Party shall remain fully liable (upon and subject to the terms of this Agreement) for the proper performance of its obligations.</w:t>
      </w:r>
    </w:p>
    <w:p>
      <w:pPr>
        <w:pStyle w:val="Level1"/>
        <w:keepNext w:val="true"/>
        <w:numPr>
          <w:ilvl w:val="0"/>
          <w:numId w:val="12"/>
        </w:numPr>
        <w:spacing w:before="240" w:after="210"/>
        <w:ind w:hanging="0" w:start="0"/>
        <w:rPr>
          <w:rStyle w:val="Heading1Text"/>
        </w:rPr>
      </w:pPr>
      <w:r>
        <w:fldChar w:fldCharType="begin"/>
      </w:r>
      <w:r>
        <w:rPr/>
        <w:instrText xml:space="preserve"> TC "_x0013_ REF _Ref516891582 \r _x0014_14" \l 1 </w:instrText>
      </w:r>
      <w:r>
        <w:rPr/>
        <w:fldChar w:fldCharType="separate"/>
      </w:r>
      <w:r>
        <w:rPr/>
      </w:r>
      <w:r>
        <w:rPr/>
        <w:fldChar w:fldCharType="end"/>
      </w:r>
      <w:bookmarkStart w:id="45" w:name="__RefHeading___Toc529165737"/>
      <w:bookmarkStart w:id="46" w:name="_Ref516286603"/>
      <w:bookmarkStart w:id="47" w:name="_Ref514662584"/>
      <w:bookmarkStart w:id="48" w:name="_Ref513552681"/>
      <w:bookmarkStart w:id="49" w:name="_Ref511194527"/>
      <w:r>
        <w:rPr/>
        <w:fldChar w:fldCharType="begin"/>
      </w:r>
      <w:r>
        <w:rPr/>
        <w:instrText xml:space="preserve"> REF _Ref516891582 \r \r \h </w:instrText>
      </w:r>
      <w:r>
        <w:rPr/>
        <w:fldChar w:fldCharType="separate"/>
      </w:r>
      <w:r>
        <w:rPr/>
        <w:t>14</w:t>
      </w:r>
      <w:r>
        <w:rPr/>
        <w:fldChar w:fldCharType="end"/>
      </w:r>
      <w:bookmarkStart w:id="50" w:name="_Ref516891582"/>
      <w:bookmarkEnd w:id="45"/>
      <w:r>
        <w:rPr>
          <w:rStyle w:val="Heading1Text"/>
        </w:rPr>
        <w:t>Miscellaneous</w:t>
      </w:r>
      <w:bookmarkEnd w:id="46"/>
      <w:bookmarkEnd w:id="47"/>
      <w:bookmarkEnd w:id="48"/>
      <w:bookmarkEnd w:id="49"/>
      <w:bookmarkEnd w:id="50"/>
    </w:p>
    <w:p>
      <w:pPr>
        <w:pStyle w:val="Level2"/>
        <w:numPr>
          <w:ilvl w:val="1"/>
          <w:numId w:val="12"/>
        </w:numPr>
        <w:ind w:hanging="0" w:start="709"/>
        <w:rPr/>
      </w:pPr>
      <w:r>
        <w:rPr/>
        <w:t>The provisions of clauses 11 to 16 inclusive of NBP 97 shall apply on the basis set out in clause 4.2, provided that each reference to " Transaction" shall be treated as a reference to this Agreement.</w:t>
      </w:r>
    </w:p>
    <w:p>
      <w:pPr>
        <w:pStyle w:val="Level2"/>
        <w:numPr>
          <w:ilvl w:val="1"/>
          <w:numId w:val="12"/>
        </w:numPr>
        <w:ind w:hanging="0" w:start="709"/>
        <w:rPr/>
      </w:pPr>
      <w:r>
        <w:rPr/>
        <w:t>The remedies in this Agreement are not exclusive and are in addition to the remedies available under the terms of the Netting Agreement entered into by the Parties dated 26 October 2001.</w:t>
      </w:r>
    </w:p>
    <w:p>
      <w:pPr>
        <w:pStyle w:val="Level1"/>
        <w:keepNext w:val="true"/>
        <w:numPr>
          <w:ilvl w:val="0"/>
          <w:numId w:val="12"/>
        </w:numPr>
        <w:spacing w:before="240" w:after="210"/>
        <w:ind w:hanging="0" w:start="0"/>
        <w:rPr>
          <w:rStyle w:val="Heading1Text"/>
        </w:rPr>
      </w:pPr>
      <w:r>
        <w:fldChar w:fldCharType="begin"/>
      </w:r>
      <w:r>
        <w:rPr/>
        <w:instrText xml:space="preserve"> TC "_x0013_ REF _Ref516891584 \r  \* MERGEFORMAT _x0014_15" \l 1 </w:instrText>
      </w:r>
      <w:r>
        <w:rPr/>
        <w:fldChar w:fldCharType="separate"/>
      </w:r>
      <w:r>
        <w:rPr/>
      </w:r>
      <w:r>
        <w:rPr/>
        <w:fldChar w:fldCharType="end"/>
      </w:r>
      <w:bookmarkStart w:id="51" w:name="__RefHeading___Toc529165738"/>
      <w:bookmarkStart w:id="52" w:name="_Ref516286617"/>
      <w:bookmarkStart w:id="53" w:name="_Ref514662592"/>
      <w:bookmarkStart w:id="54" w:name="_Ref513552678"/>
      <w:bookmarkStart w:id="55" w:name="_Ref511194605"/>
      <w:bookmarkStart w:id="56" w:name="_Ref511038217"/>
      <w:r>
        <w:rPr/>
        <w:fldChar w:fldCharType="begin"/>
      </w:r>
      <w:r>
        <w:rPr/>
        <w:instrText xml:space="preserve"> REF _Ref516891584 \r \r \h </w:instrText>
      </w:r>
      <w:r>
        <w:rPr/>
        <w:fldChar w:fldCharType="separate"/>
      </w:r>
      <w:r>
        <w:rPr/>
        <w:t>15</w:t>
      </w:r>
      <w:r>
        <w:rPr/>
        <w:fldChar w:fldCharType="end"/>
      </w:r>
      <w:bookmarkStart w:id="57" w:name="_Ref516891584"/>
      <w:bookmarkEnd w:id="51"/>
      <w:r>
        <w:rPr>
          <w:rStyle w:val="Heading1Text"/>
        </w:rPr>
        <w:t>Governing Law</w:t>
      </w:r>
      <w:bookmarkEnd w:id="52"/>
      <w:bookmarkEnd w:id="53"/>
      <w:bookmarkEnd w:id="54"/>
      <w:bookmarkEnd w:id="55"/>
      <w:bookmarkEnd w:id="56"/>
      <w:bookmarkEnd w:id="57"/>
    </w:p>
    <w:p>
      <w:pPr>
        <w:pStyle w:val="Level2"/>
        <w:keepNext w:val="true"/>
        <w:numPr>
          <w:ilvl w:val="1"/>
          <w:numId w:val="12"/>
        </w:numPr>
        <w:ind w:hanging="0" w:start="709"/>
        <w:rPr/>
      </w:pPr>
      <w:r>
        <w:rPr/>
        <w:t>This Agreement shall be governed by and construed in accordance with English law, and the Parties irrevocably submit to the exclusive jurisdiction of the English courts.</w:t>
      </w:r>
    </w:p>
    <w:p>
      <w:pPr>
        <w:sectPr>
          <w:headerReference w:type="default" r:id="rId11"/>
          <w:headerReference w:type="first" r:id="rId12"/>
          <w:footerReference w:type="default" r:id="rId13"/>
          <w:footerReference w:type="first" r:id="rId14"/>
          <w:type w:val="nextPage"/>
          <w:pgSz w:w="11906" w:h="16838"/>
          <w:pgMar w:left="1418" w:right="1418" w:gutter="0" w:header="397" w:top="851" w:footer="397" w:bottom="851"/>
          <w:pgNumType w:start="1" w:fmt="decimal"/>
          <w:formProt w:val="false"/>
          <w:titlePg/>
          <w:textDirection w:val="lrTb"/>
          <w:docGrid w:type="default" w:linePitch="360" w:charSpace="0"/>
        </w:sectPr>
        <w:pStyle w:val="Body2"/>
        <w:rPr/>
      </w:pPr>
      <w:r>
        <w:rPr/>
      </w:r>
    </w:p>
    <w:p>
      <w:pPr>
        <w:pStyle w:val="Normal"/>
        <w:jc w:val="center"/>
        <w:rPr/>
      </w:pPr>
      <w:r>
        <w:fldChar w:fldCharType="begin"/>
      </w:r>
      <w:r>
        <w:rPr/>
        <w:instrText xml:space="preserve"> TC "Schedule 1</w:instrText>
        <w:tab/>
        <w:instrText xml:space="preserve">Form of Confirmation" \l 1 </w:instrText>
      </w:r>
      <w:r>
        <w:rPr/>
        <w:fldChar w:fldCharType="separate"/>
      </w:r>
      <w:r>
        <w:rPr/>
      </w:r>
      <w:r>
        <w:rPr/>
        <w:fldChar w:fldCharType="end"/>
      </w:r>
      <w:bookmarkStart w:id="58" w:name="__RefHeading___Toc529165739"/>
      <w:bookmarkEnd w:id="58"/>
      <w:r>
        <w:rPr>
          <w:b/>
          <w:smallCaps/>
        </w:rPr>
        <w:t>Schedule 1</w:t>
      </w:r>
    </w:p>
    <w:p>
      <w:pPr>
        <w:pStyle w:val="Normal"/>
        <w:jc w:val="center"/>
        <w:rPr>
          <w:b/>
          <w:smallCaps/>
        </w:rPr>
      </w:pPr>
      <w:r>
        <w:rPr>
          <w:b/>
          <w:smallCaps/>
        </w:rPr>
      </w:r>
    </w:p>
    <w:p>
      <w:pPr>
        <w:pStyle w:val="Normal"/>
        <w:numPr>
          <w:ilvl w:val="0"/>
          <w:numId w:val="0"/>
        </w:numPr>
        <w:jc w:val="center"/>
        <w:outlineLvl w:val="0"/>
        <w:rPr>
          <w:b/>
          <w:smallCaps/>
        </w:rPr>
      </w:pPr>
      <w:r>
        <w:rPr>
          <w:b/>
          <w:smallCaps/>
        </w:rPr>
        <w:t>Cross Border Tax Provisions</w:t>
      </w:r>
    </w:p>
    <w:p>
      <w:pPr>
        <w:pStyle w:val="Normal"/>
        <w:numPr>
          <w:ilvl w:val="0"/>
          <w:numId w:val="0"/>
        </w:numPr>
        <w:jc w:val="center"/>
        <w:outlineLvl w:val="0"/>
        <w:rPr>
          <w:b/>
          <w:smallCaps/>
        </w:rPr>
      </w:pPr>
      <w:r>
        <w:rPr>
          <w:b/>
          <w:smallCaps/>
        </w:rPr>
      </w:r>
    </w:p>
    <w:p>
      <w:pPr>
        <w:pStyle w:val="Normal"/>
        <w:numPr>
          <w:ilvl w:val="0"/>
          <w:numId w:val="0"/>
        </w:numPr>
        <w:jc w:val="center"/>
        <w:outlineLvl w:val="0"/>
        <w:rPr>
          <w:b/>
          <w:smallCaps/>
        </w:rPr>
      </w:pPr>
      <w:r>
        <w:rPr>
          <w:b/>
          <w:smallCaps/>
        </w:rPr>
      </w:r>
    </w:p>
    <w:p>
      <w:pPr>
        <w:pStyle w:val="ListLegal1"/>
        <w:numPr>
          <w:ilvl w:val="0"/>
          <w:numId w:val="18"/>
        </w:numPr>
        <w:spacing w:lineRule="auto" w:line="264"/>
        <w:ind w:hanging="0" w:start="0"/>
        <w:rPr>
          <w:rFonts w:ascii="Arial" w:hAnsi="Arial" w:cs="Arial"/>
          <w:b/>
          <w:sz w:val="21"/>
        </w:rPr>
      </w:pPr>
      <w:r>
        <w:rPr>
          <w:rFonts w:cs="Arial" w:ascii="Arial" w:hAnsi="Arial"/>
          <w:b/>
          <w:sz w:val="21"/>
        </w:rPr>
        <w:t>Tax Representation</w:t>
      </w:r>
    </w:p>
    <w:p>
      <w:pPr>
        <w:pStyle w:val="BodyText"/>
        <w:rPr/>
      </w:pPr>
      <w:r>
        <w:rPr/>
        <w:t>For the purposes of Section (g) of Schedule 5 of this Agreement, each Party represents, warrants and undertakes to the other Party (which representation will be deemed to be repeated at all times until termination of the Agreement) in relation to each Transaction that, where applicable:</w:t>
      </w:r>
    </w:p>
    <w:p>
      <w:pPr>
        <w:pStyle w:val="ListAlpha2"/>
        <w:numPr>
          <w:ilvl w:val="1"/>
          <w:numId w:val="19"/>
        </w:numPr>
        <w:spacing w:lineRule="auto" w:line="264"/>
        <w:ind w:hanging="0" w:start="0"/>
        <w:rPr>
          <w:rFonts w:ascii="Arial" w:hAnsi="Arial" w:cs="Arial"/>
          <w:b/>
          <w:sz w:val="21"/>
        </w:rPr>
      </w:pPr>
      <w:r>
        <w:rPr>
          <w:rFonts w:cs="Arial" w:ascii="Arial" w:hAnsi="Arial"/>
          <w:b/>
          <w:sz w:val="21"/>
        </w:rPr>
        <w:t>Payer Representation</w:t>
      </w:r>
    </w:p>
    <w:p>
      <w:pPr>
        <w:pStyle w:val="BodyText2"/>
        <w:spacing w:lineRule="auto" w:line="264"/>
        <w:rPr/>
      </w:pPr>
      <w:r>
        <w:rPr/>
        <w:t>It is not required by any applicable law, as modified by the practice of any relevant governmental revenue authority, of any relevant jurisdiction to make any deduction or withholding for or on account of any Taxes from any payment (other than interest) to be made by it to the other Party under NBP 97, this Agreement or any Transaction.  In making this representation, it may rely on (i) the accuracy of any representations made by the other Party pursuant to Section 1(b) of this Schedule 1, (ii) the satisfaction of the agreement contained in Section 2(a) of this Schedule 1 and the accuracy of any document provided by the other Party pursuant to Section 2(a) of this Schedule 1, and (iii) the satisfaction of the agreement of the other Party contained in Section 2(b) of this Schedule 1.</w:t>
      </w:r>
    </w:p>
    <w:p>
      <w:pPr>
        <w:pStyle w:val="ListAlpha2"/>
        <w:numPr>
          <w:ilvl w:val="1"/>
          <w:numId w:val="14"/>
        </w:numPr>
        <w:spacing w:lineRule="auto" w:line="264"/>
        <w:ind w:hanging="0" w:start="0"/>
        <w:rPr>
          <w:rFonts w:ascii="Arial" w:hAnsi="Arial" w:cs="Arial"/>
          <w:b/>
          <w:sz w:val="21"/>
        </w:rPr>
      </w:pPr>
      <w:r>
        <w:rPr>
          <w:rFonts w:cs="Arial" w:ascii="Arial" w:hAnsi="Arial"/>
          <w:b/>
          <w:sz w:val="21"/>
        </w:rPr>
        <w:t>Payee Representation</w:t>
      </w:r>
    </w:p>
    <w:p>
      <w:pPr>
        <w:pStyle w:val="BodyText2"/>
        <w:numPr>
          <w:ilvl w:val="4"/>
          <w:numId w:val="14"/>
        </w:numPr>
        <w:spacing w:lineRule="auto" w:line="264"/>
        <w:rPr/>
      </w:pPr>
      <w:r>
        <w:rPr/>
        <w:t>Counterparty makes the following representation:  It is a U.S. corporation duly organised and incorporated under the laws of the State of Delaware.</w:t>
      </w:r>
    </w:p>
    <w:p>
      <w:pPr>
        <w:pStyle w:val="BodyText2"/>
        <w:numPr>
          <w:ilvl w:val="4"/>
          <w:numId w:val="14"/>
        </w:numPr>
        <w:spacing w:lineRule="auto" w:line="264"/>
        <w:rPr/>
      </w:pPr>
      <w:r>
        <w:rPr/>
        <w:t>Enron makes the following representations:</w:t>
      </w:r>
    </w:p>
    <w:p>
      <w:pPr>
        <w:pStyle w:val="BodyText2"/>
        <w:numPr>
          <w:ilvl w:val="5"/>
          <w:numId w:val="13"/>
        </w:numPr>
        <w:spacing w:lineRule="auto" w:line="264"/>
        <w:rPr/>
      </w:pPr>
      <w:r>
        <w:rPr/>
        <w:t>It is a company duly organised under the laws of England and Wales, and it is a “foreign person” for United States federal income tax purposes.</w:t>
      </w:r>
    </w:p>
    <w:p>
      <w:pPr>
        <w:pStyle w:val="BodyText2"/>
        <w:numPr>
          <w:ilvl w:val="5"/>
          <w:numId w:val="13"/>
        </w:numPr>
        <w:spacing w:lineRule="auto" w:line="264"/>
        <w:rPr/>
      </w:pPr>
      <w:r>
        <w:rPr/>
        <w:t xml:space="preserve">It is fully eligible for such relief as is available under the “Business Profits” or “Industrial and Commercial Profits” provisions of the income tax treaty currently in force between the United Kingdom and the United States with respect to any payment described in such provisions and received or to be received by it in connection with a Transaction, and no such payment is attributable to a trade or business carried on by it through a permanent establishment in the United States. </w:t>
      </w:r>
    </w:p>
    <w:p>
      <w:pPr>
        <w:pStyle w:val="ListLegal1"/>
        <w:numPr>
          <w:ilvl w:val="0"/>
          <w:numId w:val="16"/>
        </w:numPr>
        <w:spacing w:lineRule="auto" w:line="264"/>
        <w:ind w:hanging="0" w:start="0"/>
        <w:rPr>
          <w:rFonts w:ascii="Arial" w:hAnsi="Arial" w:cs="Arial"/>
          <w:b/>
          <w:sz w:val="21"/>
        </w:rPr>
      </w:pPr>
      <w:r>
        <w:rPr>
          <w:rFonts w:cs="Arial" w:ascii="Arial" w:hAnsi="Arial"/>
          <w:b/>
          <w:sz w:val="21"/>
        </w:rPr>
        <w:t>Agreement</w:t>
      </w:r>
    </w:p>
    <w:p>
      <w:pPr>
        <w:pStyle w:val="BodyText"/>
        <w:rPr/>
      </w:pPr>
      <w:r>
        <w:rPr/>
        <w:t>Each Party agrees with the other that, so long as it has or may have any obligations under NBP 97, this Agreement or under any Transaction:</w:t>
      </w:r>
    </w:p>
    <w:p>
      <w:pPr>
        <w:pStyle w:val="ListAlpha2"/>
        <w:numPr>
          <w:ilvl w:val="1"/>
          <w:numId w:val="20"/>
        </w:numPr>
        <w:spacing w:lineRule="auto" w:line="264"/>
        <w:ind w:hanging="0" w:start="0"/>
        <w:rPr>
          <w:rFonts w:ascii="Arial" w:hAnsi="Arial" w:cs="Arial"/>
          <w:sz w:val="21"/>
        </w:rPr>
      </w:pPr>
      <w:r>
        <w:rPr/>
        <w:t>it will deliver to the other Party or to such authority having power to impose Taxes the form(s) or other document(s) set forth below as the other Party reasonably requests or such other forms or documents requested by the relevant authority having power to impose Taxes to allow the other Party to make payment under NBP 97, this Agreement or under any Transaction without any withholding of or deduction for, or on account of, any Taxes or with such withholding or deduction at a reduced rate.</w:t>
      </w:r>
    </w:p>
    <w:tbl>
      <w:tblPr>
        <w:tblW w:w="8721" w:type="dxa"/>
        <w:jc w:val="start"/>
        <w:tblInd w:w="0" w:type="dxa"/>
        <w:tblLayout w:type="fixed"/>
        <w:tblCellMar>
          <w:top w:w="0" w:type="dxa"/>
          <w:start w:w="108" w:type="dxa"/>
          <w:bottom w:w="0" w:type="dxa"/>
          <w:end w:w="108" w:type="dxa"/>
        </w:tblCellMar>
      </w:tblPr>
      <w:tblGrid>
        <w:gridCol w:w="2518"/>
        <w:gridCol w:w="3119"/>
        <w:gridCol w:w="3084"/>
      </w:tblGrid>
      <w:tr>
        <w:trPr/>
        <w:tc>
          <w:tcPr>
            <w:tcW w:w="2518" w:type="dxa"/>
            <w:tcBorders/>
          </w:tcPr>
          <w:p>
            <w:pPr>
              <w:pStyle w:val="Normal"/>
              <w:rPr/>
            </w:pPr>
            <w:r>
              <w:rPr/>
              <w:t xml:space="preserve">Party required to deliver </w:t>
            </w:r>
          </w:p>
          <w:p>
            <w:pPr>
              <w:pStyle w:val="Normal"/>
              <w:rPr/>
            </w:pPr>
            <w:r>
              <w:rPr/>
              <w:t>Document</w:t>
            </w:r>
          </w:p>
        </w:tc>
        <w:tc>
          <w:tcPr>
            <w:tcW w:w="3119" w:type="dxa"/>
            <w:tcBorders/>
          </w:tcPr>
          <w:p>
            <w:pPr>
              <w:pStyle w:val="Normal"/>
              <w:rPr/>
            </w:pPr>
            <w:r>
              <w:rPr/>
              <w:t>Document</w:t>
            </w:r>
          </w:p>
        </w:tc>
        <w:tc>
          <w:tcPr>
            <w:tcW w:w="3084" w:type="dxa"/>
            <w:tcBorders/>
          </w:tcPr>
          <w:p>
            <w:pPr>
              <w:pStyle w:val="Normal"/>
              <w:rPr/>
            </w:pPr>
            <w:r>
              <w:rPr/>
              <w:t>Date by which to be delivered</w:t>
            </w:r>
          </w:p>
        </w:tc>
      </w:tr>
      <w:tr>
        <w:trPr/>
        <w:tc>
          <w:tcPr>
            <w:tcW w:w="2518" w:type="dxa"/>
            <w:tcBorders/>
          </w:tcPr>
          <w:p>
            <w:pPr>
              <w:pStyle w:val="Normal"/>
              <w:snapToGrid w:val="false"/>
              <w:rPr/>
            </w:pPr>
            <w:r>
              <w:rPr/>
            </w:r>
          </w:p>
          <w:p>
            <w:pPr>
              <w:pStyle w:val="Normal"/>
              <w:rPr/>
            </w:pPr>
            <w:r>
              <w:rPr/>
              <w:t>Enron</w:t>
            </w:r>
          </w:p>
        </w:tc>
        <w:tc>
          <w:tcPr>
            <w:tcW w:w="3119" w:type="dxa"/>
            <w:tcBorders/>
          </w:tcPr>
          <w:p>
            <w:pPr>
              <w:pStyle w:val="Normal"/>
              <w:snapToGrid w:val="false"/>
              <w:rPr/>
            </w:pPr>
            <w:r>
              <w:rPr/>
            </w:r>
          </w:p>
          <w:p>
            <w:pPr>
              <w:pStyle w:val="Normal"/>
              <w:rPr/>
            </w:pPr>
            <w:r>
              <w:rPr/>
              <w:t>A properly completed United States Internal Revenue Service Form W-8BEN (or any successor thereto) with respect to any payments received or to be received by Enron, including the statement provided in Part III of such Form relating to “Notional Principal Contracts"</w:t>
            </w:r>
          </w:p>
        </w:tc>
        <w:tc>
          <w:tcPr>
            <w:tcW w:w="3084" w:type="dxa"/>
            <w:tcBorders/>
          </w:tcPr>
          <w:p>
            <w:pPr>
              <w:pStyle w:val="Normal"/>
              <w:snapToGrid w:val="false"/>
              <w:rPr/>
            </w:pPr>
            <w:r>
              <w:rPr/>
            </w:r>
          </w:p>
          <w:p>
            <w:pPr>
              <w:pStyle w:val="Normal"/>
              <w:rPr/>
            </w:pPr>
            <w:r>
              <w:rPr/>
              <w:t>(a) Upon the execution of this Agreement; (b) promptly upon reasonable demand by the Counterparty; and (c) promptly upon any Form W-8BEN (or any successor thereto) previously provided by Enron becoming obsolete or incorrect or expiring.</w:t>
            </w:r>
          </w:p>
        </w:tc>
      </w:tr>
    </w:tbl>
    <w:p>
      <w:pPr>
        <w:pStyle w:val="ListAlpha2"/>
        <w:numPr>
          <w:ilvl w:val="0"/>
          <w:numId w:val="0"/>
        </w:numPr>
        <w:spacing w:lineRule="auto" w:line="264"/>
        <w:ind w:hanging="0" w:start="0"/>
        <w:rPr>
          <w:rFonts w:ascii="Arial" w:hAnsi="Arial" w:cs="Arial"/>
          <w:sz w:val="21"/>
        </w:rPr>
      </w:pPr>
      <w:r>
        <w:rPr>
          <w:rFonts w:cs="Arial" w:ascii="Arial" w:hAnsi="Arial"/>
          <w:sz w:val="21"/>
        </w:rPr>
      </w:r>
    </w:p>
    <w:p>
      <w:pPr>
        <w:pStyle w:val="ListAlpha2"/>
        <w:numPr>
          <w:ilvl w:val="1"/>
          <w:numId w:val="14"/>
        </w:numPr>
        <w:spacing w:lineRule="auto" w:line="264"/>
        <w:ind w:hanging="0" w:start="0"/>
        <w:rPr>
          <w:rFonts w:ascii="Arial" w:hAnsi="Arial" w:cs="Arial"/>
          <w:sz w:val="21"/>
        </w:rPr>
      </w:pPr>
      <w:r>
        <w:rPr>
          <w:rFonts w:cs="Arial" w:ascii="Arial" w:hAnsi="Arial"/>
          <w:sz w:val="21"/>
        </w:rPr>
        <w:t>it will give notice of any failure of a representation made by it under Section 1(b) of this Schedule 1 to be true and accurate promptly upon learning of such failure.</w:t>
      </w:r>
    </w:p>
    <w:p>
      <w:pPr>
        <w:pStyle w:val="Normal"/>
        <w:jc w:val="start"/>
        <w:rPr>
          <w:rFonts w:ascii="Arial" w:hAnsi="Arial" w:cs="Arial"/>
          <w:sz w:val="21"/>
        </w:rPr>
      </w:pPr>
      <w:r>
        <w:rPr>
          <w:rFonts w:cs="Arial"/>
          <w:sz w:val="21"/>
        </w:rPr>
      </w:r>
      <w:r>
        <w:br w:type="page"/>
      </w:r>
    </w:p>
    <w:p>
      <w:pPr>
        <w:pStyle w:val="Normal"/>
        <w:numPr>
          <w:ilvl w:val="0"/>
          <w:numId w:val="0"/>
        </w:numPr>
        <w:jc w:val="center"/>
        <w:outlineLvl w:val="0"/>
        <w:rPr>
          <w:smallCaps/>
        </w:rPr>
      </w:pPr>
      <w:r>
        <w:fldChar w:fldCharType="begin"/>
      </w:r>
      <w:r>
        <w:rPr/>
        <w:instrText xml:space="preserve"> TC "Schedule 2</w:instrText>
        <w:tab/>
        <w:instrText xml:space="preserve">Agreement Information" \l 1 </w:instrText>
      </w:r>
      <w:r>
        <w:rPr/>
        <w:fldChar w:fldCharType="separate"/>
      </w:r>
      <w:r>
        <w:rPr/>
      </w:r>
      <w:r>
        <w:rPr/>
        <w:fldChar w:fldCharType="end"/>
      </w:r>
      <w:bookmarkStart w:id="59" w:name="__RefHeading___Toc529165740"/>
      <w:bookmarkEnd w:id="59"/>
      <w:r>
        <w:rPr>
          <w:b/>
          <w:smallCaps/>
        </w:rPr>
        <w:t>Schedule 2</w:t>
      </w:r>
    </w:p>
    <w:p>
      <w:pPr>
        <w:pStyle w:val="Normal"/>
        <w:jc w:val="center"/>
        <w:rPr>
          <w:b/>
          <w:smallCaps/>
        </w:rPr>
      </w:pPr>
      <w:r>
        <w:rPr>
          <w:b/>
          <w:smallCaps/>
        </w:rPr>
      </w:r>
    </w:p>
    <w:p>
      <w:pPr>
        <w:pStyle w:val="Normal"/>
        <w:numPr>
          <w:ilvl w:val="0"/>
          <w:numId w:val="0"/>
        </w:numPr>
        <w:jc w:val="center"/>
        <w:outlineLvl w:val="0"/>
        <w:rPr>
          <w:b/>
          <w:smallCaps/>
        </w:rPr>
      </w:pPr>
      <w:r>
        <w:rPr>
          <w:b/>
          <w:smallCaps/>
        </w:rPr>
        <w:t>Agreement Information</w:t>
      </w:r>
    </w:p>
    <w:p>
      <w:pPr>
        <w:pStyle w:val="Normal"/>
        <w:rPr>
          <w:b/>
          <w:smallCaps/>
        </w:rPr>
      </w:pPr>
      <w:r>
        <w:rPr>
          <w:b/>
          <w:smallCaps/>
        </w:rPr>
      </w:r>
    </w:p>
    <w:p>
      <w:pPr>
        <w:pStyle w:val="IndexHeading"/>
        <w:rPr>
          <w:b w:val="false"/>
          <w:smallCaps/>
        </w:rPr>
      </w:pPr>
      <w:r>
        <w:rPr>
          <w:b w:val="false"/>
          <w:smallCaps/>
        </w:rPr>
      </w:r>
    </w:p>
    <w:p>
      <w:pPr>
        <w:pStyle w:val="Level1"/>
        <w:numPr>
          <w:ilvl w:val="0"/>
          <w:numId w:val="21"/>
        </w:numPr>
        <w:ind w:hanging="0" w:start="0"/>
        <w:rPr>
          <w:b/>
        </w:rPr>
      </w:pPr>
      <w:r>
        <w:rPr>
          <w:b/>
        </w:rPr>
        <w:t xml:space="preserve">Rollover of existing transactions </w:t>
      </w:r>
    </w:p>
    <w:p>
      <w:pPr>
        <w:pStyle w:val="Body2"/>
        <w:ind w:start="0" w:end="0"/>
        <w:rPr/>
      </w:pPr>
      <w:r>
        <w:rPr/>
        <w:t>All Transactions existing as at the date of the Master Agreement, which are of the kind referred to in clause 3.2, shall automatically be treated as Transactions under this Agreement.</w:t>
      </w:r>
    </w:p>
    <w:p>
      <w:pPr>
        <w:pStyle w:val="Level1"/>
        <w:numPr>
          <w:ilvl w:val="0"/>
          <w:numId w:val="12"/>
        </w:numPr>
        <w:ind w:hanging="0" w:start="0"/>
        <w:rPr>
          <w:b/>
        </w:rPr>
      </w:pPr>
      <w:r>
        <w:rPr>
          <w:b/>
        </w:rPr>
        <w:t xml:space="preserve">Notices </w:t>
      </w:r>
    </w:p>
    <w:p>
      <w:pPr>
        <w:pStyle w:val="Body2"/>
        <w:rPr/>
      </w:pPr>
      <w:r>
        <w:rPr/>
        <w:t>For the purpose of serving notices hereunder, the contact details for the Parties shall be as follows:</w:t>
      </w:r>
    </w:p>
    <w:p>
      <w:pPr>
        <w:pStyle w:val="Body2"/>
        <w:rPr/>
      </w:pPr>
      <w:r>
        <w:rPr/>
        <w:t>Enron:</w:t>
        <w:tab/>
        <w:tab/>
        <w:t>Telephone No. +44 207 7835400</w:t>
      </w:r>
    </w:p>
    <w:p>
      <w:pPr>
        <w:pStyle w:val="Normal"/>
        <w:spacing w:lineRule="atLeast" w:line="240"/>
        <w:ind w:firstLine="709" w:end="0"/>
        <w:rPr/>
      </w:pPr>
      <w:r>
        <w:rPr/>
        <w:t>Counterparty:</w:t>
        <w:tab/>
      </w:r>
      <w:r>
        <w:rPr>
          <w:color w:val="000000"/>
          <w:lang w:val="en-US"/>
        </w:rPr>
        <w:t>Morgan Stanley Capital Group Inc.</w:t>
      </w:r>
    </w:p>
    <w:p>
      <w:pPr>
        <w:pStyle w:val="Normal"/>
        <w:spacing w:lineRule="atLeast" w:line="240"/>
        <w:ind w:hanging="33" w:start="2160" w:end="0"/>
        <w:rPr>
          <w:color w:val="000000"/>
          <w:lang w:val="en-US"/>
        </w:rPr>
      </w:pPr>
      <w:r>
        <w:rPr>
          <w:color w:val="000000"/>
          <w:lang w:val="en-US"/>
        </w:rPr>
        <w:t>c/o its Affiliate, Morgan Stanley &amp; Co. International Limited</w:t>
      </w:r>
    </w:p>
    <w:p>
      <w:pPr>
        <w:pStyle w:val="Normal"/>
        <w:spacing w:lineRule="atLeast" w:line="240"/>
        <w:ind w:firstLine="709" w:start="1418" w:end="0"/>
        <w:rPr>
          <w:color w:val="000000"/>
          <w:lang w:val="en-US"/>
        </w:rPr>
      </w:pPr>
      <w:r>
        <w:rPr>
          <w:color w:val="000000"/>
          <w:lang w:val="en-US"/>
        </w:rPr>
        <w:t>25 Cabot Square</w:t>
      </w:r>
    </w:p>
    <w:p>
      <w:pPr>
        <w:pStyle w:val="Normal"/>
        <w:spacing w:lineRule="atLeast" w:line="240"/>
        <w:ind w:firstLine="709" w:start="1418" w:end="0"/>
        <w:rPr>
          <w:color w:val="000000"/>
          <w:lang w:val="en-US"/>
        </w:rPr>
      </w:pPr>
      <w:r>
        <w:rPr>
          <w:color w:val="000000"/>
          <w:lang w:val="en-US"/>
        </w:rPr>
        <w:t>Canary Wharf</w:t>
      </w:r>
    </w:p>
    <w:p>
      <w:pPr>
        <w:pStyle w:val="Normal"/>
        <w:spacing w:lineRule="atLeast" w:line="240"/>
        <w:ind w:firstLine="709" w:start="1418" w:end="0"/>
        <w:rPr>
          <w:color w:val="000000"/>
          <w:lang w:val="en-US"/>
        </w:rPr>
      </w:pPr>
      <w:r>
        <w:rPr>
          <w:color w:val="000000"/>
          <w:lang w:val="en-US"/>
        </w:rPr>
        <w:t>London E14 4QA</w:t>
      </w:r>
    </w:p>
    <w:p>
      <w:pPr>
        <w:pStyle w:val="Normal"/>
        <w:spacing w:lineRule="atLeast" w:line="240"/>
        <w:ind w:firstLine="709" w:start="1418" w:end="0"/>
        <w:rPr>
          <w:color w:val="000000"/>
          <w:lang w:val="en-US"/>
        </w:rPr>
      </w:pPr>
      <w:r>
        <w:rPr>
          <w:color w:val="000000"/>
          <w:lang w:val="en-US"/>
        </w:rPr>
      </w:r>
    </w:p>
    <w:p>
      <w:pPr>
        <w:pStyle w:val="Normal"/>
        <w:spacing w:lineRule="atLeast" w:line="240"/>
        <w:ind w:firstLine="709" w:start="1418" w:end="0"/>
        <w:rPr>
          <w:color w:val="000000"/>
          <w:lang w:val="en-US"/>
        </w:rPr>
      </w:pPr>
      <w:r>
        <w:rPr>
          <w:color w:val="000000"/>
          <w:lang w:val="en-US"/>
        </w:rPr>
        <w:t>Attention:    Commodities Operations</w:t>
      </w:r>
    </w:p>
    <w:p>
      <w:pPr>
        <w:pStyle w:val="Normal"/>
        <w:spacing w:lineRule="atLeast" w:line="240"/>
        <w:rPr>
          <w:color w:val="000000"/>
          <w:lang w:val="en-US"/>
        </w:rPr>
      </w:pPr>
      <w:r>
        <w:rPr>
          <w:color w:val="000000"/>
          <w:lang w:val="en-US"/>
        </w:rPr>
      </w:r>
    </w:p>
    <w:p>
      <w:pPr>
        <w:pStyle w:val="Normal"/>
        <w:spacing w:lineRule="atLeast" w:line="240"/>
        <w:ind w:firstLine="709" w:start="1418" w:end="0"/>
        <w:rPr>
          <w:color w:val="000000"/>
          <w:lang w:val="en-US"/>
        </w:rPr>
      </w:pPr>
      <w:r>
        <w:rPr>
          <w:color w:val="000000"/>
          <w:lang w:val="en-US"/>
        </w:rPr>
        <w:t>Telephone No.   +44 207 677-4451</w:t>
      </w:r>
    </w:p>
    <w:p>
      <w:pPr>
        <w:pStyle w:val="Body2"/>
        <w:ind w:firstLine="709" w:start="1418" w:end="0"/>
        <w:rPr>
          <w:color w:val="000000"/>
          <w:lang w:val="en-US"/>
        </w:rPr>
      </w:pPr>
      <w:r>
        <w:rPr>
          <w:color w:val="000000"/>
          <w:lang w:val="en-US"/>
        </w:rPr>
        <w:t>Facsimile No.    +44 207 677 3698</w:t>
      </w:r>
    </w:p>
    <w:p>
      <w:pPr>
        <w:pStyle w:val="Level1"/>
        <w:numPr>
          <w:ilvl w:val="0"/>
          <w:numId w:val="12"/>
        </w:numPr>
        <w:ind w:hanging="0" w:start="0"/>
        <w:rPr>
          <w:b/>
        </w:rPr>
      </w:pPr>
      <w:r>
        <w:rPr>
          <w:b/>
        </w:rPr>
        <w:t>New Taxes (Schedule 3)</w:t>
      </w:r>
    </w:p>
    <w:p>
      <w:pPr>
        <w:pStyle w:val="Body2"/>
        <w:rPr/>
      </w:pPr>
      <w:r>
        <w:rPr/>
        <w:t xml:space="preserve">The provisions relating to New Taxes, set out in  Sections 6 to 8 of Schedule 3, shall apply. </w:t>
      </w:r>
    </w:p>
    <w:p>
      <w:pPr>
        <w:pStyle w:val="Level1"/>
        <w:numPr>
          <w:ilvl w:val="0"/>
          <w:numId w:val="12"/>
        </w:numPr>
        <w:ind w:hanging="0" w:start="0"/>
        <w:rPr>
          <w:b/>
        </w:rPr>
      </w:pPr>
      <w:r>
        <w:rPr>
          <w:b/>
        </w:rPr>
        <w:t>Credit Support ( Section 2 of Schedule 4)</w:t>
      </w:r>
    </w:p>
    <w:p>
      <w:pPr>
        <w:pStyle w:val="Body2"/>
        <w:rPr/>
      </w:pPr>
      <w:r>
        <w:rPr/>
        <w:t>Credit support shall be provided as follows:</w:t>
      </w:r>
    </w:p>
    <w:p>
      <w:pPr>
        <w:pStyle w:val="Body2"/>
        <w:rPr/>
      </w:pPr>
      <w:r>
        <w:rPr/>
        <w:t xml:space="preserve">Enron’s Credit Support Provider: Enron Corp. </w:t>
      </w:r>
    </w:p>
    <w:p>
      <w:pPr>
        <w:pStyle w:val="Body2"/>
        <w:rPr/>
      </w:pPr>
      <w:r>
        <w:rPr/>
        <w:t>to provide a parent company guarantee as may be agreed by both Parties from time to time.</w:t>
      </w:r>
    </w:p>
    <w:p>
      <w:pPr>
        <w:pStyle w:val="Body2"/>
        <w:rPr/>
      </w:pPr>
      <w:r>
        <w:rPr/>
        <w:t xml:space="preserve">Counterparty’s Credit Support Provider:  Morgan Stanley Dean Witter &amp; Co. </w:t>
      </w:r>
    </w:p>
    <w:p>
      <w:pPr>
        <w:pStyle w:val="Body2"/>
        <w:rPr/>
      </w:pPr>
      <w:r>
        <w:rPr/>
        <w:t>to provide a parent company guarantee as may be agreed by both Parties from time to time.</w:t>
      </w:r>
    </w:p>
    <w:p>
      <w:pPr>
        <w:pStyle w:val="Level1"/>
        <w:numPr>
          <w:ilvl w:val="0"/>
          <w:numId w:val="12"/>
        </w:numPr>
        <w:ind w:hanging="0" w:start="0"/>
        <w:rPr>
          <w:b/>
        </w:rPr>
      </w:pPr>
      <w:r>
        <w:rPr>
          <w:b/>
        </w:rPr>
        <w:t>Cross Default Threshold (Section 3(f) of Schedule 4)</w:t>
      </w:r>
    </w:p>
    <w:p>
      <w:pPr>
        <w:pStyle w:val="Body2"/>
        <w:rPr/>
      </w:pPr>
      <w:r>
        <w:rPr/>
        <w:t>The cross default provisions of paragraph 3(f) of Schedule 4 shall apply to the Credit Support Provider of Enron and shall apply to Counterparty’s Credit Support Provider.</w:t>
      </w:r>
    </w:p>
    <w:p>
      <w:pPr>
        <w:pStyle w:val="Body2"/>
        <w:rPr/>
      </w:pPr>
      <w:r>
        <w:rPr/>
        <w:t>If those provisions apply, the Cross Default Threshold means:</w:t>
      </w:r>
    </w:p>
    <w:p>
      <w:pPr>
        <w:pStyle w:val="Body2"/>
        <w:jc w:val="start"/>
        <w:rPr/>
      </w:pPr>
      <w:r>
        <w:rPr/>
        <w:t xml:space="preserve">Party: </w:t>
        <w:tab/>
        <w:tab/>
        <w:t xml:space="preserve">Enron Corp. </w:t>
        <w:br/>
        <w:t>Amount:</w:t>
        <w:tab/>
        <w:t>US$100 million</w:t>
      </w:r>
    </w:p>
    <w:p>
      <w:pPr>
        <w:pStyle w:val="Body2"/>
        <w:jc w:val="start"/>
        <w:rPr/>
      </w:pPr>
      <w:r>
        <w:rPr/>
        <w:t>Party:</w:t>
        <w:tab/>
        <w:tab/>
        <w:t xml:space="preserve"> Morgan Stanley Dean Witter &amp; Co.</w:t>
        <w:br/>
        <w:t>Amount:</w:t>
        <w:tab/>
        <w:t>US$100 million</w:t>
      </w:r>
    </w:p>
    <w:p>
      <w:pPr>
        <w:pStyle w:val="Body2"/>
        <w:rPr/>
      </w:pPr>
      <w:r>
        <w:rPr/>
        <w:t xml:space="preserve">or, in each case, the equivalent of the amount specified in any other currency or currencies.  </w:t>
      </w:r>
    </w:p>
    <w:p>
      <w:pPr>
        <w:pStyle w:val="Body2"/>
        <w:rPr/>
      </w:pPr>
      <w:r>
        <w:rPr/>
      </w:r>
    </w:p>
    <w:p>
      <w:pPr>
        <w:pStyle w:val="Body2"/>
        <w:rPr/>
      </w:pPr>
      <w:r>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p>
    <w:p>
      <w:pPr>
        <w:pStyle w:val="Normal"/>
        <w:jc w:val="center"/>
        <w:rPr>
          <w:smallCaps/>
        </w:rPr>
      </w:pPr>
      <w:r>
        <w:fldChar w:fldCharType="begin"/>
      </w:r>
      <w:r>
        <w:rPr/>
        <w:instrText xml:space="preserve"> TC "Schedule 3</w:instrText>
        <w:tab/>
        <w:instrText xml:space="preserve">tax provisions" \l 1 </w:instrText>
      </w:r>
      <w:r>
        <w:rPr/>
        <w:fldChar w:fldCharType="separate"/>
      </w:r>
      <w:r>
        <w:rPr/>
      </w:r>
      <w:r>
        <w:rPr/>
        <w:fldChar w:fldCharType="end"/>
      </w:r>
      <w:bookmarkStart w:id="60" w:name="__RefHeading___Toc529165741"/>
      <w:bookmarkEnd w:id="60"/>
      <w:r>
        <w:rPr>
          <w:b/>
          <w:smallCaps/>
        </w:rPr>
        <w:t>Schedule 3</w:t>
      </w:r>
    </w:p>
    <w:p>
      <w:pPr>
        <w:pStyle w:val="Normal"/>
        <w:jc w:val="center"/>
        <w:rPr>
          <w:b/>
          <w:smallCaps/>
        </w:rPr>
      </w:pPr>
      <w:r>
        <w:rPr>
          <w:b/>
          <w:smallCaps/>
        </w:rPr>
      </w:r>
    </w:p>
    <w:p>
      <w:pPr>
        <w:pStyle w:val="Normal"/>
        <w:jc w:val="center"/>
        <w:rPr>
          <w:b/>
          <w:smallCaps/>
        </w:rPr>
      </w:pPr>
      <w:r>
        <w:rPr>
          <w:b/>
          <w:smallCaps/>
        </w:rPr>
      </w:r>
    </w:p>
    <w:p>
      <w:pPr>
        <w:pStyle w:val="Normal"/>
        <w:numPr>
          <w:ilvl w:val="0"/>
          <w:numId w:val="0"/>
        </w:numPr>
        <w:jc w:val="center"/>
        <w:outlineLvl w:val="0"/>
        <w:rPr>
          <w:b/>
          <w:smallCaps/>
        </w:rPr>
      </w:pPr>
      <w:r>
        <w:rPr>
          <w:b/>
          <w:smallCaps/>
        </w:rPr>
        <w:t>Tax Provisions</w:t>
      </w:r>
    </w:p>
    <w:p>
      <w:pPr>
        <w:pStyle w:val="Header"/>
        <w:tabs>
          <w:tab w:val="clear" w:pos="4536"/>
          <w:tab w:val="clear" w:pos="9072"/>
        </w:tabs>
        <w:rPr>
          <w:b/>
          <w:smallCaps/>
        </w:rPr>
      </w:pPr>
      <w:r>
        <w:rPr>
          <w:b/>
          <w:smallCaps/>
        </w:rPr>
      </w:r>
    </w:p>
    <w:p>
      <w:pPr>
        <w:pStyle w:val="Body1"/>
        <w:rPr>
          <w:b/>
        </w:rPr>
      </w:pPr>
      <w:r>
        <w:rPr>
          <w:b/>
        </w:rPr>
        <w:t>Definitions</w:t>
      </w:r>
    </w:p>
    <w:p>
      <w:pPr>
        <w:pStyle w:val="Level1"/>
        <w:numPr>
          <w:ilvl w:val="0"/>
          <w:numId w:val="22"/>
        </w:numPr>
        <w:ind w:hanging="0" w:start="0"/>
        <w:rPr/>
      </w:pPr>
      <w:r>
        <w:rPr/>
        <w:t>For the purposes of this Agreement:</w:t>
      </w:r>
    </w:p>
    <w:p>
      <w:pPr>
        <w:pStyle w:val="Level3"/>
        <w:rPr/>
      </w:pPr>
      <w:r>
        <w:rPr/>
        <w:t>(a)</w:t>
        <w:tab/>
        <w:t>"Climate Change Levy" shall mean any tax, duty, levy or impost imposed by reference to quantity of Natural Gas and/or energy value and/or carbon content;</w:t>
      </w:r>
    </w:p>
    <w:p>
      <w:pPr>
        <w:pStyle w:val="Level3"/>
        <w:rPr/>
      </w:pPr>
      <w:r>
        <w:rPr/>
        <w:t>(b)</w:t>
        <w:tab/>
        <w:t>"New Tax" shall mean, in respect of a Transaction, any Tax enacted and effective after the date on which the Transaction is entered into, or that portion of an existing Tax which constitutes an effective increase (taking effect after the date on which the Transaction is entered into) in applicable rates, or any existing Tax to the extent that it is levied on a new or different class of Persons as a result of any law, order, rule, regulation or decree or the interpretation thereof, enacted and effective after the date on which the Transaction is entered into;</w:t>
      </w:r>
    </w:p>
    <w:p>
      <w:pPr>
        <w:pStyle w:val="Level3"/>
        <w:rPr/>
      </w:pPr>
      <w:r>
        <w:rPr/>
        <w:t>(c)</w:t>
        <w:tab/>
        <w:t>"Tax" shall mean any tax, duty, levy, impost, charge, assessment, or fee of any nature imposed by any government or other taxing authority in respect of any payment, notification or nomination under this Agreement, on the services provided under this Agreement, on Natural Gas, or on the processing, sale, transportation or supply of Natural Gas, but excluding any tax on net income, and excluding VAT;</w:t>
      </w:r>
    </w:p>
    <w:p>
      <w:pPr>
        <w:pStyle w:val="Level3"/>
        <w:rPr/>
      </w:pPr>
      <w:r>
        <w:rPr/>
        <w:t>(d)</w:t>
        <w:tab/>
        <w:t>"VAT" shall mean any value added tax or any tax analogous thereto.</w:t>
      </w:r>
    </w:p>
    <w:p>
      <w:pPr>
        <w:pStyle w:val="Body1"/>
        <w:rPr>
          <w:b/>
        </w:rPr>
      </w:pPr>
      <w:r>
        <w:rPr>
          <w:b/>
        </w:rPr>
        <w:t>Taxes and VAT</w:t>
      </w:r>
    </w:p>
    <w:p>
      <w:pPr>
        <w:pStyle w:val="Level1"/>
        <w:numPr>
          <w:ilvl w:val="0"/>
          <w:numId w:val="12"/>
        </w:numPr>
        <w:ind w:hanging="0" w:start="0"/>
        <w:rPr/>
      </w:pPr>
      <w:r>
        <w:rPr/>
        <w:t>All prices agreed upon shall be exclusive of VAT and exclusive of any Tax.</w:t>
      </w:r>
    </w:p>
    <w:p>
      <w:pPr>
        <w:pStyle w:val="Level1"/>
        <w:numPr>
          <w:ilvl w:val="0"/>
          <w:numId w:val="12"/>
        </w:numPr>
        <w:ind w:hanging="0" w:start="0"/>
        <w:rPr/>
      </w:pPr>
      <w:r>
        <w:rPr/>
        <w:t>VAT, and the provision of VAT invoices, shall be dealt with in accordance with clause 6.</w:t>
      </w:r>
    </w:p>
    <w:p>
      <w:pPr>
        <w:pStyle w:val="Level1"/>
        <w:numPr>
          <w:ilvl w:val="0"/>
          <w:numId w:val="12"/>
        </w:numPr>
        <w:ind w:hanging="0" w:start="0"/>
        <w:rPr/>
      </w:pPr>
      <w:r>
        <w:rPr/>
        <w:t>Each Party warrants that, by virtue of its status, whenever it enters into a Transaction as Buyer, the Transaction will be outside the scope of any Climate Change Levy (to the extent that such Climate Change Levy is, or would otherwise be, applicable) and, to the extent that any Climate Change Levy is, or would otherwise be, applicable, shall provide to the other Party appropriate evidence of its exemption from such Climate Change Levy.</w:t>
      </w:r>
    </w:p>
    <w:p>
      <w:pPr>
        <w:pStyle w:val="Body1"/>
        <w:tabs>
          <w:tab w:val="clear" w:pos="709"/>
          <w:tab w:val="left" w:pos="567" w:leader="none"/>
        </w:tabs>
        <w:rPr>
          <w:b/>
        </w:rPr>
      </w:pPr>
      <w:r>
        <w:rPr>
          <w:b/>
        </w:rPr>
        <w:t>New Taxes</w:t>
      </w:r>
    </w:p>
    <w:p>
      <w:pPr>
        <w:pStyle w:val="Level1"/>
        <w:numPr>
          <w:ilvl w:val="0"/>
          <w:numId w:val="12"/>
        </w:numPr>
        <w:ind w:hanging="0" w:start="0"/>
        <w:rPr/>
      </w:pPr>
      <w:r>
        <w:rPr/>
        <w:t>Subject to Section 7, if any New Tax is applicable to a Transaction, and the Buyer is, by the use of reasonable endeavours, able to obtain any available exemption or relief therefrom or is able to pass the same through to or be reimbursed in respect thereof by, a third party, the Buyer shall pay or cause to be paid, or reimburse the Seller if the Seller has paid, such New Tax, and the Buyer shall indemnify, defend and hold harmless the Seller from and against any claims for such New Tax.</w:t>
      </w:r>
    </w:p>
    <w:p>
      <w:pPr>
        <w:pStyle w:val="Level1"/>
        <w:numPr>
          <w:ilvl w:val="0"/>
          <w:numId w:val="12"/>
        </w:numPr>
        <w:ind w:hanging="0" w:start="0"/>
        <w:rPr/>
      </w:pPr>
      <w:r>
        <w:rPr/>
        <w:t>If the Buyer is not, by the use of reasonable endeavours, able to obtain any available exemption or relief therefrom or able to pass through or be reimbursed in respect of a New Tax, the Buyer or the Seller (as the case may be, depending on which of the Parties is primarily liable for such New Tax, i.e. the "Taxed Party") shall be entitled to terminate the Transaction subject to the following conditions:</w:t>
      </w:r>
    </w:p>
    <w:p>
      <w:pPr>
        <w:pStyle w:val="Level3"/>
        <w:rPr/>
      </w:pPr>
      <w:r>
        <w:rPr/>
        <w:t>(a)</w:t>
        <w:tab/>
        <w:t>the Taxed Party must give the non-Taxed Party at least 30 Days' prior written notice (the "Agreement Period") of its intent to terminate the Transaction (and which notice shall be given no later than 180 Days after the later of the enactment or the effective date of the relevant New Tax), and prior to the proposed termination the Buyer and the Seller shall attempt to reach an agreement as to the sharing of the New Tax;</w:t>
      </w:r>
    </w:p>
    <w:p>
      <w:pPr>
        <w:pStyle w:val="Level3"/>
        <w:rPr/>
      </w:pPr>
      <w:r>
        <w:rPr/>
        <w:t>(b)</w:t>
        <w:tab/>
        <w:t>if such agreement is not reached, the non-Taxed Party shall have the right, but not the obligation, upon written notice within the Agreement Period, to pay the New Tax for any continuous period it so elects on a Month to Month basis, and in such case the Taxed Party shall not have the right during such continuous period to terminate the Transaction on the basis of the New Tax;</w:t>
      </w:r>
    </w:p>
    <w:p>
      <w:pPr>
        <w:pStyle w:val="Level3"/>
        <w:rPr/>
      </w:pPr>
      <w:r>
        <w:rPr/>
        <w:t>(c)</w:t>
        <w:tab/>
        <w:t>should the non-Taxed Party elect to pay the New Tax on a Month to Month basis, upon giving 30 Days' prior written notice to the Taxed Party of its election to cease payment of such New Tax, the Taxed Party shall again be subject to the provisions of this Clause as if the New Tax had an effective date as of the date on which the non-Taxed Party ceases payment of such New Tax;</w:t>
      </w:r>
    </w:p>
    <w:p>
      <w:pPr>
        <w:pStyle w:val="Level3"/>
        <w:rPr/>
      </w:pPr>
      <w:r>
        <w:rPr/>
        <w:t>(d)</w:t>
        <w:tab/>
        <w:t>if agreement as to sharing a New Tax is not reached and the non-Taxed Party does not elect to pay the New Tax for any period of time within the Agreement Period, the Transaction shall be terminated on the expiry of the Agreement Period;</w:t>
      </w:r>
    </w:p>
    <w:p>
      <w:pPr>
        <w:pStyle w:val="Level3"/>
        <w:rPr/>
      </w:pPr>
      <w:r>
        <w:rPr/>
        <w:t>(e)</w:t>
        <w:tab/>
        <w:t>upon termination of the Transaction, the provisions of Section 8 of Schedule 4 relating to the calculation and payment of the Early Termination Amount shall apply, and for these purposes:</w:t>
      </w:r>
    </w:p>
    <w:p>
      <w:pPr>
        <w:pStyle w:val="Level4"/>
        <w:numPr>
          <w:ilvl w:val="3"/>
          <w:numId w:val="12"/>
        </w:numPr>
        <w:ind w:hanging="0" w:start="2126"/>
        <w:rPr/>
      </w:pPr>
      <w:r>
        <w:rPr/>
        <w:t>references to the Early Termination Date shall  be treated as references to the date on which the Transaction terminated;</w:t>
      </w:r>
    </w:p>
    <w:p>
      <w:pPr>
        <w:pStyle w:val="Level4"/>
        <w:numPr>
          <w:ilvl w:val="3"/>
          <w:numId w:val="12"/>
        </w:numPr>
        <w:ind w:hanging="0" w:start="2126"/>
        <w:rPr/>
      </w:pPr>
      <w:r>
        <w:rPr/>
        <w:t>references to the Defaulting Party shall be treated as references to the Taxed Party, and references to the Non-Defaulting Party shall be treated as references to the non-Taxed Party; and</w:t>
      </w:r>
    </w:p>
    <w:p>
      <w:pPr>
        <w:pStyle w:val="Level4"/>
        <w:numPr>
          <w:ilvl w:val="3"/>
          <w:numId w:val="12"/>
        </w:numPr>
        <w:ind w:hanging="0" w:start="2126"/>
        <w:rPr/>
      </w:pPr>
      <w:r>
        <w:rPr/>
        <w:t>the effect (if any) of the relevant New Tax on the calculation of the Early Termination Amount shall be expressly ignored, notwithstanding that any representative price quote(s) used for the purpose of such calculation takes into account in any manner the effect of such New Tax.</w:t>
      </w:r>
    </w:p>
    <w:p>
      <w:pPr>
        <w:pStyle w:val="Level1"/>
        <w:numPr>
          <w:ilvl w:val="0"/>
          <w:numId w:val="0"/>
        </w:numPr>
        <w:ind w:hanging="0" w:start="0"/>
        <w:rPr/>
      </w:pPr>
      <w:r>
        <w:rPr/>
      </w:r>
      <w:r>
        <w:br w:type="page"/>
      </w:r>
    </w:p>
    <w:p>
      <w:pPr>
        <w:pStyle w:val="Normal"/>
        <w:jc w:val="center"/>
        <w:rPr/>
      </w:pPr>
      <w:r>
        <w:fldChar w:fldCharType="begin"/>
      </w:r>
      <w:r>
        <w:rPr/>
        <w:instrText xml:space="preserve"> TC "Schedule 4</w:instrText>
        <w:tab/>
        <w:instrText xml:space="preserve">Credit, Suspension and Termination Provisions" \l 1 </w:instrText>
      </w:r>
      <w:r>
        <w:rPr/>
        <w:fldChar w:fldCharType="separate"/>
      </w:r>
      <w:r>
        <w:rPr/>
      </w:r>
      <w:r>
        <w:rPr/>
        <w:fldChar w:fldCharType="end"/>
      </w:r>
      <w:bookmarkStart w:id="61" w:name="__RefHeading___Toc529165742"/>
      <w:bookmarkEnd w:id="61"/>
      <w:r>
        <w:rPr>
          <w:b/>
          <w:smallCaps/>
        </w:rPr>
        <w:t>Schedule 4</w:t>
      </w:r>
    </w:p>
    <w:p>
      <w:pPr>
        <w:pStyle w:val="Normal"/>
        <w:jc w:val="center"/>
        <w:rPr>
          <w:b/>
          <w:smallCaps/>
        </w:rPr>
      </w:pPr>
      <w:r>
        <w:rPr>
          <w:b/>
          <w:smallCaps/>
        </w:rPr>
      </w:r>
    </w:p>
    <w:p>
      <w:pPr>
        <w:pStyle w:val="Normal"/>
        <w:numPr>
          <w:ilvl w:val="0"/>
          <w:numId w:val="0"/>
        </w:numPr>
        <w:jc w:val="center"/>
        <w:outlineLvl w:val="0"/>
        <w:rPr>
          <w:b/>
          <w:smallCaps/>
        </w:rPr>
      </w:pPr>
      <w:r>
        <w:rPr>
          <w:b/>
          <w:smallCaps/>
        </w:rPr>
        <w:t>Credit, Suspension and Termination Provisions</w:t>
      </w:r>
    </w:p>
    <w:p>
      <w:pPr>
        <w:pStyle w:val="Normal"/>
        <w:jc w:val="start"/>
        <w:rPr>
          <w:b/>
          <w:smallCaps/>
        </w:rPr>
      </w:pPr>
      <w:r>
        <w:rPr>
          <w:b/>
          <w:smallCaps/>
        </w:rPr>
      </w:r>
    </w:p>
    <w:p>
      <w:pPr>
        <w:pStyle w:val="Level1"/>
        <w:numPr>
          <w:ilvl w:val="0"/>
          <w:numId w:val="23"/>
        </w:numPr>
        <w:ind w:hanging="0" w:start="0"/>
        <w:rPr/>
      </w:pPr>
      <w:r>
        <w:rPr>
          <w:b/>
        </w:rPr>
        <w:t>Definitions</w:t>
      </w:r>
    </w:p>
    <w:p>
      <w:pPr>
        <w:pStyle w:val="Body2"/>
        <w:rPr/>
      </w:pPr>
      <w:r>
        <w:rPr/>
        <w:t>In this Schedule 4, the following expressions have the following meanings:</w:t>
      </w:r>
    </w:p>
    <w:tbl>
      <w:tblPr>
        <w:tblW w:w="8611" w:type="dxa"/>
        <w:jc w:val="start"/>
        <w:tblInd w:w="675" w:type="dxa"/>
        <w:tblLayout w:type="fixed"/>
        <w:tblCellMar>
          <w:top w:w="0" w:type="dxa"/>
          <w:start w:w="108" w:type="dxa"/>
          <w:bottom w:w="0" w:type="dxa"/>
          <w:end w:w="108" w:type="dxa"/>
        </w:tblCellMar>
      </w:tblPr>
      <w:tblGrid>
        <w:gridCol w:w="3968"/>
        <w:gridCol w:w="4643"/>
      </w:tblGrid>
      <w:tr>
        <w:trPr/>
        <w:tc>
          <w:tcPr>
            <w:tcW w:w="3968" w:type="dxa"/>
            <w:tcBorders/>
          </w:tcPr>
          <w:p>
            <w:pPr>
              <w:pStyle w:val="Body2"/>
              <w:spacing w:before="0" w:after="210"/>
              <w:ind w:start="0" w:end="0"/>
              <w:rPr/>
            </w:pPr>
            <w:r>
              <w:rPr/>
              <w:t>"Affected Party"</w:t>
            </w:r>
          </w:p>
        </w:tc>
        <w:tc>
          <w:tcPr>
            <w:tcW w:w="4643" w:type="dxa"/>
            <w:tcBorders/>
          </w:tcPr>
          <w:p>
            <w:pPr>
              <w:pStyle w:val="Body2"/>
              <w:spacing w:before="0" w:after="210"/>
              <w:ind w:start="0" w:end="0"/>
              <w:rPr/>
            </w:pPr>
            <w:r>
              <w:rPr/>
              <w:t>has the meaning given to that expression in paragraph 8;</w:t>
            </w:r>
          </w:p>
        </w:tc>
      </w:tr>
      <w:tr>
        <w:trPr/>
        <w:tc>
          <w:tcPr>
            <w:tcW w:w="3968" w:type="dxa"/>
            <w:tcBorders/>
          </w:tcPr>
          <w:p>
            <w:pPr>
              <w:pStyle w:val="Body2"/>
              <w:spacing w:before="0" w:after="210"/>
              <w:ind w:start="0" w:end="0"/>
              <w:rPr/>
            </w:pPr>
            <w:r>
              <w:rPr/>
              <w:t>"Credit Support Document"</w:t>
            </w:r>
          </w:p>
        </w:tc>
        <w:tc>
          <w:tcPr>
            <w:tcW w:w="4643" w:type="dxa"/>
            <w:tcBorders/>
          </w:tcPr>
          <w:p>
            <w:pPr>
              <w:pStyle w:val="Body2"/>
              <w:spacing w:before="0" w:after="210"/>
              <w:ind w:start="0" w:end="0"/>
              <w:rPr/>
            </w:pPr>
            <w:r>
              <w:rPr/>
              <w:t>in respect of a Party, any guarantee, letter of credit, credit support annex or other agreement or instrument providing financial security in relation to that Party;</w:t>
            </w:r>
          </w:p>
        </w:tc>
      </w:tr>
      <w:tr>
        <w:trPr/>
        <w:tc>
          <w:tcPr>
            <w:tcW w:w="3968" w:type="dxa"/>
            <w:tcBorders/>
          </w:tcPr>
          <w:p>
            <w:pPr>
              <w:pStyle w:val="Body2"/>
              <w:spacing w:before="0" w:after="210"/>
              <w:ind w:start="0" w:end="0"/>
              <w:rPr/>
            </w:pPr>
            <w:r>
              <w:rPr/>
              <w:t>"Credit Support Provider"</w:t>
            </w:r>
          </w:p>
        </w:tc>
        <w:tc>
          <w:tcPr>
            <w:tcW w:w="4643" w:type="dxa"/>
            <w:tcBorders/>
          </w:tcPr>
          <w:p>
            <w:pPr>
              <w:pStyle w:val="Body2"/>
              <w:spacing w:before="0" w:after="210"/>
              <w:ind w:start="0" w:end="0"/>
              <w:rPr/>
            </w:pPr>
            <w:r>
              <w:rPr/>
              <w:t>in respect of a Party, any entity identified as such in Schedule 2 and any other entity providing credit support under a Credit Support Document;</w:t>
            </w:r>
          </w:p>
        </w:tc>
      </w:tr>
      <w:tr>
        <w:trPr/>
        <w:tc>
          <w:tcPr>
            <w:tcW w:w="3968" w:type="dxa"/>
            <w:tcBorders/>
          </w:tcPr>
          <w:p>
            <w:pPr>
              <w:pStyle w:val="Body2"/>
              <w:spacing w:before="0" w:after="210"/>
              <w:ind w:start="0" w:end="0"/>
              <w:rPr/>
            </w:pPr>
            <w:r>
              <w:rPr/>
              <w:t>"Cross Default Threshold"</w:t>
            </w:r>
          </w:p>
        </w:tc>
        <w:tc>
          <w:tcPr>
            <w:tcW w:w="4643" w:type="dxa"/>
            <w:tcBorders/>
          </w:tcPr>
          <w:p>
            <w:pPr>
              <w:pStyle w:val="Body2"/>
              <w:spacing w:before="0" w:after="210"/>
              <w:ind w:start="0" w:end="0"/>
              <w:rPr/>
            </w:pPr>
            <w:r>
              <w:rPr/>
              <w:t>in respect of a Party, the amount specified as such in Schedule 2;</w:t>
            </w:r>
          </w:p>
        </w:tc>
      </w:tr>
      <w:tr>
        <w:trPr/>
        <w:tc>
          <w:tcPr>
            <w:tcW w:w="3968" w:type="dxa"/>
            <w:tcBorders/>
          </w:tcPr>
          <w:p>
            <w:pPr>
              <w:pStyle w:val="Body2"/>
              <w:spacing w:before="0" w:after="210"/>
              <w:ind w:start="0" w:end="0"/>
              <w:rPr/>
            </w:pPr>
            <w:r>
              <w:rPr/>
              <w:t>"Defaulting Party"</w:t>
            </w:r>
          </w:p>
        </w:tc>
        <w:tc>
          <w:tcPr>
            <w:tcW w:w="4643" w:type="dxa"/>
            <w:tcBorders/>
          </w:tcPr>
          <w:p>
            <w:pPr>
              <w:pStyle w:val="Body2"/>
              <w:spacing w:before="0" w:after="210"/>
              <w:ind w:start="0" w:end="0"/>
              <w:rPr/>
            </w:pPr>
            <w:r>
              <w:rPr/>
              <w:t>has the meaning given to that expression in paragraph 3;</w:t>
            </w:r>
          </w:p>
        </w:tc>
      </w:tr>
      <w:tr>
        <w:trPr/>
        <w:tc>
          <w:tcPr>
            <w:tcW w:w="3968" w:type="dxa"/>
            <w:tcBorders/>
          </w:tcPr>
          <w:p>
            <w:pPr>
              <w:pStyle w:val="Body2"/>
              <w:spacing w:before="0" w:after="210"/>
              <w:ind w:start="0" w:end="0"/>
              <w:rPr/>
            </w:pPr>
            <w:r>
              <w:rPr/>
              <w:t>"Early Termination Amount"</w:t>
            </w:r>
          </w:p>
        </w:tc>
        <w:tc>
          <w:tcPr>
            <w:tcW w:w="4643" w:type="dxa"/>
            <w:tcBorders/>
          </w:tcPr>
          <w:p>
            <w:pPr>
              <w:pStyle w:val="Body2"/>
              <w:spacing w:before="0" w:after="210"/>
              <w:ind w:start="0" w:end="0"/>
              <w:rPr/>
            </w:pPr>
            <w:r>
              <w:rPr/>
              <w:t>has the meaning given to that expression in paragraph 7(a);</w:t>
            </w:r>
          </w:p>
        </w:tc>
      </w:tr>
      <w:tr>
        <w:trPr/>
        <w:tc>
          <w:tcPr>
            <w:tcW w:w="3968" w:type="dxa"/>
            <w:tcBorders/>
          </w:tcPr>
          <w:p>
            <w:pPr>
              <w:pStyle w:val="Body2"/>
              <w:spacing w:before="0" w:after="210"/>
              <w:ind w:start="0" w:end="0"/>
              <w:rPr/>
            </w:pPr>
            <w:r>
              <w:rPr/>
              <w:t>"Early Termination Date"</w:t>
            </w:r>
          </w:p>
        </w:tc>
        <w:tc>
          <w:tcPr>
            <w:tcW w:w="4643" w:type="dxa"/>
            <w:tcBorders/>
          </w:tcPr>
          <w:p>
            <w:pPr>
              <w:pStyle w:val="Body2"/>
              <w:spacing w:before="0" w:after="210"/>
              <w:ind w:start="0" w:end="0"/>
              <w:rPr/>
            </w:pPr>
            <w:r>
              <w:rPr/>
              <w:t>has the meaning given to that expression in paragraph 5(a) and (b);</w:t>
            </w:r>
          </w:p>
        </w:tc>
      </w:tr>
      <w:tr>
        <w:trPr/>
        <w:tc>
          <w:tcPr>
            <w:tcW w:w="3968" w:type="dxa"/>
            <w:tcBorders/>
          </w:tcPr>
          <w:p>
            <w:pPr>
              <w:pStyle w:val="Body2"/>
              <w:spacing w:before="0" w:after="210"/>
              <w:ind w:start="0" w:end="0"/>
              <w:rPr/>
            </w:pPr>
            <w:r>
              <w:rPr/>
              <w:t>"Event of Default"</w:t>
            </w:r>
          </w:p>
        </w:tc>
        <w:tc>
          <w:tcPr>
            <w:tcW w:w="4643" w:type="dxa"/>
            <w:tcBorders/>
          </w:tcPr>
          <w:p>
            <w:pPr>
              <w:pStyle w:val="Body2"/>
              <w:spacing w:before="0" w:after="210"/>
              <w:ind w:start="0" w:end="0"/>
              <w:rPr/>
            </w:pPr>
            <w:r>
              <w:rPr/>
              <w:t>has the meaning given to that expression in paragraph 3;</w:t>
            </w:r>
          </w:p>
        </w:tc>
      </w:tr>
      <w:tr>
        <w:trPr/>
        <w:tc>
          <w:tcPr>
            <w:tcW w:w="3968" w:type="dxa"/>
            <w:tcBorders/>
          </w:tcPr>
          <w:p>
            <w:pPr>
              <w:pStyle w:val="Body2"/>
              <w:spacing w:before="0" w:after="210"/>
              <w:ind w:start="0" w:end="0"/>
              <w:rPr/>
            </w:pPr>
            <w:r>
              <w:rPr/>
              <w:t>"Illegality"</w:t>
            </w:r>
          </w:p>
        </w:tc>
        <w:tc>
          <w:tcPr>
            <w:tcW w:w="4643" w:type="dxa"/>
            <w:tcBorders/>
          </w:tcPr>
          <w:p>
            <w:pPr>
              <w:pStyle w:val="Body2"/>
              <w:spacing w:before="0" w:after="210"/>
              <w:ind w:start="0" w:end="0"/>
              <w:rPr/>
            </w:pPr>
            <w:r>
              <w:rPr/>
              <w:t>has the meaning given to that expression in paragraph 8;</w:t>
            </w:r>
          </w:p>
        </w:tc>
      </w:tr>
      <w:tr>
        <w:trPr/>
        <w:tc>
          <w:tcPr>
            <w:tcW w:w="3968" w:type="dxa"/>
            <w:tcBorders/>
          </w:tcPr>
          <w:p>
            <w:pPr>
              <w:pStyle w:val="Body2"/>
              <w:spacing w:before="0" w:after="210"/>
              <w:ind w:start="0" w:end="0"/>
              <w:rPr/>
            </w:pPr>
            <w:r>
              <w:rPr/>
              <w:t>"Loss"</w:t>
            </w:r>
          </w:p>
        </w:tc>
        <w:tc>
          <w:tcPr>
            <w:tcW w:w="4643" w:type="dxa"/>
            <w:tcBorders/>
          </w:tcPr>
          <w:p>
            <w:pPr>
              <w:pStyle w:val="Body2"/>
              <w:spacing w:before="0" w:after="210"/>
              <w:ind w:start="0" w:end="0"/>
              <w:rPr/>
            </w:pPr>
            <w:r>
              <w:rPr/>
              <w:t>has the meaning given to that expression in paragraph 7(b);</w:t>
            </w:r>
          </w:p>
        </w:tc>
      </w:tr>
      <w:tr>
        <w:trPr/>
        <w:tc>
          <w:tcPr>
            <w:tcW w:w="3968" w:type="dxa"/>
            <w:tcBorders/>
          </w:tcPr>
          <w:p>
            <w:pPr>
              <w:pStyle w:val="Body2"/>
              <w:keepNext w:val="true"/>
              <w:spacing w:before="0" w:after="210"/>
              <w:ind w:start="0" w:end="0"/>
              <w:rPr/>
            </w:pPr>
            <w:r>
              <w:rPr/>
              <w:t>"Month"</w:t>
            </w:r>
          </w:p>
        </w:tc>
        <w:tc>
          <w:tcPr>
            <w:tcW w:w="4643" w:type="dxa"/>
            <w:tcBorders/>
          </w:tcPr>
          <w:p>
            <w:pPr>
              <w:pStyle w:val="Body2"/>
              <w:keepNext w:val="true"/>
              <w:spacing w:before="0" w:after="210"/>
              <w:ind w:start="0" w:end="0"/>
              <w:rPr/>
            </w:pPr>
            <w:r>
              <w:rPr/>
              <w:t>a period beginning at 06:00 hours on the first day of a calendar month and ending at 06:00 hours on the first day of the following calendar month;</w:t>
            </w:r>
          </w:p>
        </w:tc>
      </w:tr>
      <w:tr>
        <w:trPr/>
        <w:tc>
          <w:tcPr>
            <w:tcW w:w="3968" w:type="dxa"/>
            <w:tcBorders/>
          </w:tcPr>
          <w:p>
            <w:pPr>
              <w:pStyle w:val="Body2"/>
              <w:spacing w:before="0" w:after="210"/>
              <w:ind w:start="0" w:end="0"/>
              <w:rPr/>
            </w:pPr>
            <w:r>
              <w:rPr/>
              <w:t>"Non-Defaulting Party"</w:t>
            </w:r>
          </w:p>
        </w:tc>
        <w:tc>
          <w:tcPr>
            <w:tcW w:w="4643" w:type="dxa"/>
            <w:tcBorders/>
          </w:tcPr>
          <w:p>
            <w:pPr>
              <w:pStyle w:val="Body2"/>
              <w:spacing w:before="0" w:after="210"/>
              <w:ind w:start="0" w:end="0"/>
              <w:rPr/>
            </w:pPr>
            <w:r>
              <w:rPr/>
              <w:t>the Party which is not the Defaulting Party;</w:t>
            </w:r>
          </w:p>
        </w:tc>
      </w:tr>
      <w:tr>
        <w:trPr/>
        <w:tc>
          <w:tcPr>
            <w:tcW w:w="3968" w:type="dxa"/>
            <w:tcBorders/>
          </w:tcPr>
          <w:p>
            <w:pPr>
              <w:pStyle w:val="Body2"/>
              <w:spacing w:before="0" w:after="210"/>
              <w:ind w:start="0" w:end="0"/>
              <w:rPr/>
            </w:pPr>
            <w:r>
              <w:rPr/>
              <w:t>"Relevant Transaction"</w:t>
            </w:r>
          </w:p>
        </w:tc>
        <w:tc>
          <w:tcPr>
            <w:tcW w:w="4643" w:type="dxa"/>
            <w:tcBorders/>
          </w:tcPr>
          <w:p>
            <w:pPr>
              <w:pStyle w:val="Body2"/>
              <w:spacing w:before="0" w:after="210"/>
              <w:ind w:start="0" w:end="0"/>
              <w:rPr/>
            </w:pPr>
            <w:r>
              <w:rPr/>
              <w:t>any commodity transaction (whether relating to gas or any other commodity, and including an agreement with respect to the transaction) between the Parties (or between one Party and the Credit Support Provider of the other Party if such Credit Support Provider is an Affiliate of the other Party), whether entered into before or after the date of this Master Agreement, including, but not limited to, a commodity forward or future, commodity option or commodity swap;</w:t>
            </w:r>
          </w:p>
        </w:tc>
      </w:tr>
      <w:tr>
        <w:trPr/>
        <w:tc>
          <w:tcPr>
            <w:tcW w:w="3968" w:type="dxa"/>
            <w:tcBorders/>
          </w:tcPr>
          <w:p>
            <w:pPr>
              <w:pStyle w:val="Body2"/>
              <w:spacing w:before="0" w:after="210"/>
              <w:ind w:start="0" w:end="0"/>
              <w:rPr/>
            </w:pPr>
            <w:r>
              <w:rPr/>
              <w:t>"Substantive Obligations"</w:t>
            </w:r>
          </w:p>
        </w:tc>
        <w:tc>
          <w:tcPr>
            <w:tcW w:w="4643" w:type="dxa"/>
            <w:tcBorders/>
          </w:tcPr>
          <w:p>
            <w:pPr>
              <w:pStyle w:val="Body2"/>
              <w:spacing w:before="0" w:after="210"/>
              <w:ind w:start="0" w:end="0"/>
              <w:rPr/>
            </w:pPr>
            <w:r>
              <w:rPr/>
              <w:t>in respect of a Party, its obligations under clause 4.1 of NBP 97;</w:t>
            </w:r>
          </w:p>
        </w:tc>
      </w:tr>
      <w:tr>
        <w:trPr/>
        <w:tc>
          <w:tcPr>
            <w:tcW w:w="3968" w:type="dxa"/>
            <w:tcBorders/>
          </w:tcPr>
          <w:p>
            <w:pPr>
              <w:pStyle w:val="Body2"/>
              <w:spacing w:before="0" w:after="210"/>
              <w:ind w:start="0" w:end="0"/>
              <w:rPr/>
            </w:pPr>
            <w:r>
              <w:rPr/>
              <w:t>"Suspending Party"</w:t>
            </w:r>
          </w:p>
        </w:tc>
        <w:tc>
          <w:tcPr>
            <w:tcW w:w="4643" w:type="dxa"/>
            <w:tcBorders/>
          </w:tcPr>
          <w:p>
            <w:pPr>
              <w:pStyle w:val="Body2"/>
              <w:spacing w:before="0" w:after="210"/>
              <w:ind w:start="0" w:end="0"/>
              <w:rPr/>
            </w:pPr>
            <w:r>
              <w:rPr/>
              <w:t>has the meaning given to that expression in paragraph 4;</w:t>
            </w:r>
          </w:p>
        </w:tc>
      </w:tr>
      <w:tr>
        <w:trPr/>
        <w:tc>
          <w:tcPr>
            <w:tcW w:w="3968" w:type="dxa"/>
            <w:tcBorders/>
          </w:tcPr>
          <w:p>
            <w:pPr>
              <w:pStyle w:val="Body2"/>
              <w:spacing w:before="0" w:after="210"/>
              <w:ind w:start="0" w:end="0"/>
              <w:rPr/>
            </w:pPr>
            <w:r>
              <w:rPr/>
              <w:t>"Termination Payment Date"</w:t>
            </w:r>
          </w:p>
        </w:tc>
        <w:tc>
          <w:tcPr>
            <w:tcW w:w="4643" w:type="dxa"/>
            <w:tcBorders/>
          </w:tcPr>
          <w:p>
            <w:pPr>
              <w:pStyle w:val="Body2"/>
              <w:spacing w:before="0" w:after="210"/>
              <w:ind w:start="0" w:end="0"/>
              <w:rPr/>
            </w:pPr>
            <w:r>
              <w:rPr/>
              <w:t>has the meaning given to that expression in paragraph 7(f).</w:t>
            </w:r>
          </w:p>
        </w:tc>
      </w:tr>
    </w:tbl>
    <w:p>
      <w:pPr>
        <w:pStyle w:val="Level1"/>
        <w:numPr>
          <w:ilvl w:val="0"/>
          <w:numId w:val="12"/>
        </w:numPr>
        <w:spacing w:before="240" w:after="210"/>
        <w:ind w:hanging="0" w:start="0"/>
        <w:rPr>
          <w:b/>
        </w:rPr>
      </w:pPr>
      <w:r>
        <w:rPr>
          <w:b/>
        </w:rPr>
        <w:t>Credit Support</w:t>
      </w:r>
    </w:p>
    <w:p>
      <w:pPr>
        <w:pStyle w:val="Body2"/>
        <w:rPr/>
      </w:pPr>
      <w:r>
        <w:rPr/>
        <w:t>Credit support shall be provided by the Parties in accordance with Schedule 2.</w:t>
      </w:r>
    </w:p>
    <w:p>
      <w:pPr>
        <w:pStyle w:val="Level1"/>
        <w:numPr>
          <w:ilvl w:val="0"/>
          <w:numId w:val="12"/>
        </w:numPr>
        <w:ind w:hanging="0" w:start="0"/>
        <w:rPr>
          <w:b/>
        </w:rPr>
      </w:pPr>
      <w:r>
        <w:rPr>
          <w:b/>
        </w:rPr>
        <w:t>Events of Default</w:t>
      </w:r>
    </w:p>
    <w:p>
      <w:pPr>
        <w:pStyle w:val="Body2"/>
        <w:rPr/>
      </w:pPr>
      <w:r>
        <w:rPr/>
        <w:t>"</w:t>
      </w:r>
      <w:r>
        <w:rPr>
          <w:b/>
        </w:rPr>
        <w:t>Event of Default</w:t>
      </w:r>
      <w:r>
        <w:rPr/>
        <w:t>" means the occurrence at any time with respect to a Party or, if applicable, any Credit Support Provider of that Party (the "</w:t>
      </w:r>
      <w:r>
        <w:rPr>
          <w:b/>
        </w:rPr>
        <w:t>Defaulting Party</w:t>
      </w:r>
      <w:r>
        <w:rPr/>
        <w:t>") of any of the following events:</w:t>
      </w:r>
    </w:p>
    <w:p>
      <w:pPr>
        <w:pStyle w:val="Level3"/>
        <w:rPr/>
      </w:pPr>
      <w:r>
        <w:rPr/>
        <w:t>(a)</w:t>
        <w:tab/>
        <w:t>(</w:t>
      </w:r>
      <w:r>
        <w:rPr>
          <w:b/>
        </w:rPr>
        <w:t>Insolvency</w:t>
      </w:r>
      <w:r>
        <w:rPr/>
        <w:t>) the Party or any Credit Support Provider of the Party:</w:t>
      </w:r>
    </w:p>
    <w:p>
      <w:pPr>
        <w:pStyle w:val="Level4"/>
        <w:numPr>
          <w:ilvl w:val="3"/>
          <w:numId w:val="12"/>
        </w:numPr>
        <w:ind w:hanging="0" w:start="2126"/>
        <w:rPr/>
      </w:pPr>
      <w:r>
        <w:rPr/>
        <w:t>is dissolved (other than pursuant to a consolidation, amalgamation or merger);</w:t>
      </w:r>
    </w:p>
    <w:p>
      <w:pPr>
        <w:pStyle w:val="Level4"/>
        <w:numPr>
          <w:ilvl w:val="3"/>
          <w:numId w:val="12"/>
        </w:numPr>
        <w:ind w:hanging="0" w:start="2126"/>
        <w:rPr/>
      </w:pPr>
      <w:r>
        <w:rPr/>
        <w:t>becomes insolvent or is unable to pay its debts or fails or admits in writing its inability generally to pay its debts as they become due;</w:t>
      </w:r>
    </w:p>
    <w:p>
      <w:pPr>
        <w:pStyle w:val="Level4"/>
        <w:numPr>
          <w:ilvl w:val="3"/>
          <w:numId w:val="12"/>
        </w:numPr>
        <w:ind w:hanging="0" w:start="2126"/>
        <w:rPr/>
      </w:pPr>
      <w:r>
        <w:rPr/>
        <w:t>makes a general assignment, arrangement or composition with or for the benefit of its creditors;</w:t>
      </w:r>
    </w:p>
    <w:p>
      <w:pPr>
        <w:pStyle w:val="Level4"/>
        <w:numPr>
          <w:ilvl w:val="3"/>
          <w:numId w:val="12"/>
        </w:numPr>
        <w:ind w:hanging="0" w:start="2126"/>
        <w:rPr/>
      </w:pPr>
      <w:r>
        <w:rPr/>
        <w:t>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that proceeding or petition (i) results in a judgment of insolvency or bankruptcy or the entry of an order for relief or the making of an order for its winding-up or liquidation or (ii) is not withdrawn, dismissed, discharged, stayed or restrained in each case within 30 days of the institution or presentation of that proceeding or petition;</w:t>
      </w:r>
    </w:p>
    <w:p>
      <w:pPr>
        <w:pStyle w:val="Level4"/>
        <w:numPr>
          <w:ilvl w:val="3"/>
          <w:numId w:val="12"/>
        </w:numPr>
        <w:ind w:hanging="0" w:start="2126"/>
        <w:rPr/>
      </w:pPr>
      <w:r>
        <w:rPr/>
        <w:t>has a resolution passed for its winding-up, official management or liquidation (other than pursuant to a consolidation, amalgamation or merger);</w:t>
      </w:r>
    </w:p>
    <w:p>
      <w:pPr>
        <w:pStyle w:val="Level4"/>
        <w:numPr>
          <w:ilvl w:val="3"/>
          <w:numId w:val="12"/>
        </w:numPr>
        <w:ind w:hanging="0" w:start="2126"/>
        <w:rPr/>
      </w:pPr>
      <w:r>
        <w:rPr/>
        <w:t>seeks or becomes subject to the appointment of an administrator, provisional liquidator, conservator, receiver, trustee, custodian or other similar official for it or for all or substantially all its assets;</w:t>
      </w:r>
    </w:p>
    <w:p>
      <w:pPr>
        <w:pStyle w:val="Level4"/>
        <w:numPr>
          <w:ilvl w:val="3"/>
          <w:numId w:val="12"/>
        </w:numPr>
        <w:ind w:hanging="0" w:start="2126"/>
        <w:rPr/>
      </w:pPr>
      <w:r>
        <w:rPr/>
        <w:t>has a secured party take possession of all or substantially all its assets or has a distress, execution, attachment, sequestration or other legal process levied, enforced or sued on or against all or substantially all its assets and that secured party maintains possession, or that process is not withdrawn, dismissed, discharged, stayed or restrained, in each case within 30 days of that event;</w:t>
      </w:r>
    </w:p>
    <w:p>
      <w:pPr>
        <w:pStyle w:val="Level4"/>
        <w:numPr>
          <w:ilvl w:val="3"/>
          <w:numId w:val="12"/>
        </w:numPr>
        <w:ind w:hanging="0" w:start="2126"/>
        <w:rPr/>
      </w:pPr>
      <w:r>
        <w:rPr/>
        <w:t>causes or is subject to any event with respect to it which, under the applicable laws of any jurisdiction, has an analogous effect to any of the events specified in (i) to (vii) above (inclusive); or</w:t>
      </w:r>
    </w:p>
    <w:p>
      <w:pPr>
        <w:pStyle w:val="Level4"/>
        <w:numPr>
          <w:ilvl w:val="3"/>
          <w:numId w:val="12"/>
        </w:numPr>
        <w:ind w:hanging="0" w:start="2126"/>
        <w:rPr/>
      </w:pPr>
      <w:r>
        <w:rPr/>
        <w:t>takes any action in furtherance of, or indicating its consent to, approval of, or acquiescence in, any of the acts referred to in this paragraph (a);</w:t>
      </w:r>
    </w:p>
    <w:p>
      <w:pPr>
        <w:pStyle w:val="Level3"/>
        <w:rPr/>
      </w:pPr>
      <w:r>
        <w:rPr/>
        <w:t>(b)</w:t>
        <w:tab/>
        <w:t>(</w:t>
      </w:r>
      <w:r>
        <w:rPr>
          <w:b/>
        </w:rPr>
        <w:t>Representation or Warranty</w:t>
      </w:r>
      <w:r>
        <w:rPr/>
        <w:t>) any representation or warranty made, or deemed to have been made, by the Party or any Credit Support Provider of that Party in this Agreement or any Credit Support Document proves to have been false or materially misleading at the time it was made or was deemed to have been made;</w:t>
      </w:r>
    </w:p>
    <w:p>
      <w:pPr>
        <w:pStyle w:val="Level3"/>
        <w:rPr/>
      </w:pPr>
      <w:r>
        <w:rPr/>
        <w:t>(c)</w:t>
        <w:tab/>
        <w:t>(</w:t>
      </w:r>
      <w:r>
        <w:rPr>
          <w:b/>
        </w:rPr>
        <w:t>Non-Payment</w:t>
      </w:r>
      <w:r>
        <w:rPr/>
        <w:t>) the Party fails to pay any amount when due under this Agreement, and that failure is not remedied on or before the  2nd Banking Day after the Non-Defaulting Party gives the Party notice of that failure;</w:t>
      </w:r>
    </w:p>
    <w:p>
      <w:pPr>
        <w:pStyle w:val="Level3"/>
        <w:rPr/>
      </w:pPr>
      <w:r>
        <w:rPr/>
        <w:t>(d)</w:t>
        <w:tab/>
        <w:t>(</w:t>
      </w:r>
      <w:r>
        <w:rPr>
          <w:b/>
        </w:rPr>
        <w:t>Material Obligations</w:t>
      </w:r>
      <w:r>
        <w:rPr/>
        <w:t>) the Party fails to perform a material obligation under this Agreement (other than an obligation referred to in paragraphs (c) and (d) above) and that failure is not remedied within 10 Banking Days of the Non-Defaulting Party giving the Party notice of that failure;</w:t>
      </w:r>
    </w:p>
    <w:p>
      <w:pPr>
        <w:pStyle w:val="Level3"/>
        <w:rPr/>
      </w:pPr>
      <w:r>
        <w:rPr/>
        <w:t>(e)</w:t>
        <w:tab/>
        <w:t>(Credit Support)</w:t>
      </w:r>
    </w:p>
    <w:p>
      <w:pPr>
        <w:pStyle w:val="Level4"/>
        <w:numPr>
          <w:ilvl w:val="0"/>
          <w:numId w:val="0"/>
        </w:numPr>
        <w:ind w:hanging="742" w:start="2160" w:end="0"/>
        <w:rPr/>
      </w:pPr>
      <w:r>
        <w:rPr/>
        <w:t>(i)</w:t>
        <w:tab/>
        <w:t>the Party or any Credit Support Provider of the Party fails to comply with or perform any agreement or obligation to be complied with or performed by it in accordance with any Credit Support Document if that failure is continuing after any applicable grace period has elapsed;</w:t>
      </w:r>
    </w:p>
    <w:p>
      <w:pPr>
        <w:pStyle w:val="Level4"/>
        <w:numPr>
          <w:ilvl w:val="0"/>
          <w:numId w:val="0"/>
        </w:numPr>
        <w:ind w:hanging="708" w:start="2126" w:end="0"/>
        <w:rPr/>
      </w:pPr>
      <w:r>
        <w:rPr/>
        <w:t>(ii)</w:t>
        <w:tab/>
        <w:t>any Credit Support Document expires or terminates or fails or ceases to be in full force and effect for the purpose of this Agreement (in either case other than in accordance with its terms) prior to the satisfaction of all obligations of the Party under each Transaction to which that Credit Support Document relates without the written consent of the other Party; or</w:t>
      </w:r>
    </w:p>
    <w:p>
      <w:pPr>
        <w:pStyle w:val="Level4"/>
        <w:numPr>
          <w:ilvl w:val="0"/>
          <w:numId w:val="0"/>
        </w:numPr>
        <w:ind w:hanging="742" w:start="2160" w:end="0"/>
        <w:rPr/>
      </w:pPr>
      <w:r>
        <w:rPr/>
        <w:t>(iii)</w:t>
        <w:tab/>
        <w:t>the Party or any Credit Support Provider of that Party disaffirms, disclaims, repudiates or rejects, in whole or in part, or challenges the validity of, that Credit Support Document;</w:t>
      </w:r>
    </w:p>
    <w:p>
      <w:pPr>
        <w:pStyle w:val="Level3"/>
        <w:rPr/>
      </w:pPr>
      <w:r>
        <w:rPr/>
        <w:t>(f)</w:t>
        <w:tab/>
        <w:t>(</w:t>
      </w:r>
      <w:r>
        <w:rPr>
          <w:b/>
        </w:rPr>
        <w:t>Cross Default</w:t>
      </w:r>
      <w:r>
        <w:rPr/>
        <w:t>) if cross default and the related Cross Default Threshold are specified in Schedule 2 and there occurs or exists:</w:t>
      </w:r>
    </w:p>
    <w:p>
      <w:pPr>
        <w:pStyle w:val="Level4"/>
        <w:numPr>
          <w:ilvl w:val="0"/>
          <w:numId w:val="0"/>
        </w:numPr>
        <w:ind w:hanging="742" w:start="2160" w:end="0"/>
        <w:rPr/>
      </w:pPr>
      <w:r>
        <w:rPr/>
        <w:t>(i)</w:t>
        <w:tab/>
        <w:t>a default, event of default or other similar condition or event (however described) in respect of the Party or any Credit Support Provider of the Party under one or more agreements or instruments relating to indebtedness of any of them (individually or collectively) in an aggregate amount of not less than the Cross Default Threshold which has resulted in that Indebtedness becoming, or becoming capable at the time of being declared, due and payable under those agreements or instruments, before it would otherwise have been due and payable; or</w:t>
      </w:r>
    </w:p>
    <w:p>
      <w:pPr>
        <w:pStyle w:val="Level4"/>
        <w:numPr>
          <w:ilvl w:val="0"/>
          <w:numId w:val="0"/>
        </w:numPr>
        <w:ind w:hanging="742" w:start="2160" w:end="0"/>
        <w:rPr/>
      </w:pPr>
      <w:r>
        <w:rPr/>
        <w:t>(ii)</w:t>
        <w:tab/>
        <w:t xml:space="preserve">a default by that Party or that Credit Support Provider (individually or collectively) in making one or more payments on the due date for those purposes under those agreements or instruments in an aggregate amount of not less than the Cross Default Threshold (after giving effect to any applicable notice requirement or grace period); </w:t>
      </w:r>
    </w:p>
    <w:p>
      <w:pPr>
        <w:pStyle w:val="Level3"/>
        <w:rPr/>
      </w:pPr>
      <w:r>
        <w:rPr/>
        <w:t>(g)</w:t>
        <w:tab/>
        <w:t>(</w:t>
      </w:r>
      <w:r>
        <w:rPr>
          <w:b/>
        </w:rPr>
        <w:t>Default under Relevant Transaction</w:t>
      </w:r>
      <w:r>
        <w:rPr/>
        <w:t>) the Party or any Credit Support Provider of the Party:</w:t>
      </w:r>
    </w:p>
    <w:p>
      <w:pPr>
        <w:pStyle w:val="Level4"/>
        <w:numPr>
          <w:ilvl w:val="0"/>
          <w:numId w:val="0"/>
        </w:numPr>
        <w:ind w:hanging="742" w:start="2160" w:end="0"/>
        <w:rPr/>
      </w:pPr>
      <w:r>
        <w:rPr/>
        <w:t>(i)</w:t>
        <w:tab/>
        <w:t>defaults under a Relevant Transaction and, after giving effect to any applicable notice requirement or grace period, there occurs a liquidation of, an acceleration of obligations under, or an early termination of, that Relevant Transaction;</w:t>
      </w:r>
    </w:p>
    <w:p>
      <w:pPr>
        <w:pStyle w:val="Level4"/>
        <w:numPr>
          <w:ilvl w:val="0"/>
          <w:numId w:val="0"/>
        </w:numPr>
        <w:ind w:hanging="742" w:start="2160" w:end="0"/>
        <w:rPr/>
      </w:pPr>
      <w:r>
        <w:rPr/>
        <w:t>(ii)</w:t>
        <w:tab/>
        <w:t>defaults (a) in making any payment due on the last date for that payment under the Relevant Transaction; or (b) in making any payment on early termination of a Relevant Transaction, after giving effect to any applicable notice requirement or grace period or, in each case where there is no applicable notice requirement or grace period, where that default continues for at least 2 Banking Days; or</w:t>
      </w:r>
    </w:p>
    <w:p>
      <w:pPr>
        <w:pStyle w:val="Level4"/>
        <w:numPr>
          <w:ilvl w:val="0"/>
          <w:numId w:val="0"/>
        </w:numPr>
        <w:ind w:hanging="742" w:start="2160" w:end="0"/>
        <w:rPr/>
      </w:pPr>
      <w:r>
        <w:rPr/>
        <w:t>(iii)</w:t>
        <w:tab/>
        <w:t>disaffirms, disclaims, repudiates or rejects, in whole or in part, a Relevant Transaction (or that action is taken by any Person appointed or empowered to operate it or act on its behalf); or</w:t>
      </w:r>
    </w:p>
    <w:p>
      <w:pPr>
        <w:pStyle w:val="Level3"/>
        <w:rPr/>
      </w:pPr>
      <w:r>
        <w:rPr/>
        <w:t>(h)</w:t>
        <w:tab/>
        <w:t>(</w:t>
      </w:r>
      <w:r>
        <w:rPr>
          <w:b/>
        </w:rPr>
        <w:t>Merger or Consolidation</w:t>
      </w:r>
      <w:r>
        <w:rPr/>
        <w:t>) the merger or consolidation of either Party or its Credit Support Provider with, or transfer of all or substantially all of the assets of either Party or its Credit Support Provider to, any other person (i) which results in the financial condition of such Party or Credit Support Provider being materially weaker than it was immediately prior to the merger, consolidation, or asset transfer, or (ii) pursuant to which the entity existing after the transfer, merger or consolidation does not assume all the obligations of such Party or Credit Support Provider by operation of law or otherwise.</w:t>
      </w:r>
    </w:p>
    <w:p>
      <w:pPr>
        <w:pStyle w:val="Level1"/>
        <w:numPr>
          <w:ilvl w:val="0"/>
          <w:numId w:val="12"/>
        </w:numPr>
        <w:ind w:hanging="0" w:start="0"/>
        <w:rPr>
          <w:b/>
        </w:rPr>
      </w:pPr>
      <w:r>
        <w:rPr>
          <w:b/>
        </w:rPr>
        <w:t>Suspension</w:t>
      </w:r>
    </w:p>
    <w:p>
      <w:pPr>
        <w:pStyle w:val="Body2"/>
        <w:rPr/>
      </w:pPr>
      <w:r>
        <w:rPr/>
        <w:t>Notwithstanding any other provision of this Agreement, after the occurrence of:</w:t>
      </w:r>
    </w:p>
    <w:p>
      <w:pPr>
        <w:pStyle w:val="Level3"/>
        <w:rPr/>
      </w:pPr>
      <w:r>
        <w:rPr/>
        <w:t>(a)</w:t>
        <w:tab/>
        <w:t xml:space="preserve">an Event of Default; or </w:t>
      </w:r>
    </w:p>
    <w:p>
      <w:pPr>
        <w:pStyle w:val="Level3"/>
        <w:rPr/>
      </w:pPr>
      <w:r>
        <w:rPr/>
        <w:t>(b)</w:t>
        <w:tab/>
        <w:t>an event which, with the giving of notice or the passage of time or both would constitute an Event of Default,</w:t>
      </w:r>
    </w:p>
    <w:p>
      <w:pPr>
        <w:pStyle w:val="Body2"/>
        <w:rPr/>
      </w:pPr>
      <w:r>
        <w:rPr/>
        <w:t>with respect to a Party, the other Party (the "</w:t>
      </w:r>
      <w:r>
        <w:rPr>
          <w:b/>
        </w:rPr>
        <w:t>Suspending Party</w:t>
      </w:r>
      <w:r>
        <w:rPr/>
        <w:t>") may do one or more of:</w:t>
      </w:r>
    </w:p>
    <w:p>
      <w:pPr>
        <w:pStyle w:val="Level3"/>
        <w:rPr/>
      </w:pPr>
      <w:r>
        <w:rPr/>
        <w:t>(c)</w:t>
        <w:tab/>
        <w:t>withhold or suspend payments under this Agreement; or</w:t>
      </w:r>
    </w:p>
    <w:p>
      <w:pPr>
        <w:pStyle w:val="Level3"/>
        <w:rPr/>
      </w:pPr>
      <w:r>
        <w:rPr/>
        <w:t>(d)</w:t>
        <w:tab/>
        <w:t>suspend performance of its Substantive Obligations;</w:t>
      </w:r>
    </w:p>
    <w:p>
      <w:pPr>
        <w:pStyle w:val="Body2"/>
        <w:rPr/>
      </w:pPr>
      <w:r>
        <w:rPr/>
        <w:t>in respect of any or all Transactions.</w:t>
      </w:r>
    </w:p>
    <w:p>
      <w:pPr>
        <w:pStyle w:val="Level1"/>
        <w:keepNext w:val="true"/>
        <w:numPr>
          <w:ilvl w:val="0"/>
          <w:numId w:val="12"/>
        </w:numPr>
        <w:ind w:hanging="0" w:start="0"/>
        <w:rPr>
          <w:b/>
        </w:rPr>
      </w:pPr>
      <w:r>
        <w:rPr>
          <w:b/>
        </w:rPr>
        <w:t>Termination Right</w:t>
      </w:r>
    </w:p>
    <w:p>
      <w:pPr>
        <w:pStyle w:val="Level3"/>
        <w:rPr/>
      </w:pPr>
      <w:r>
        <w:rPr/>
        <w:t>(a)</w:t>
        <w:tab/>
        <w:t>If, at any time, an Event of Default has occurred and is continuing, the Non-Defaulting Party may designate a day as an early termination date (the "</w:t>
      </w:r>
      <w:r>
        <w:rPr>
          <w:b/>
        </w:rPr>
        <w:t>Early Termination Date</w:t>
      </w:r>
      <w:r>
        <w:rPr/>
        <w:t xml:space="preserve">") in respect of all outstanding Transactions between the Parties by giving not more than 20 days' notice to the Defaulting Party.  This notice shall specify the relevant Event of Default.  The Early Termination Date may not be earlier than the day the notice is effective.  </w:t>
      </w:r>
    </w:p>
    <w:p>
      <w:pPr>
        <w:pStyle w:val="Level3"/>
        <w:rPr/>
      </w:pPr>
      <w:r>
        <w:rPr/>
        <w:t>(b)</w:t>
        <w:tab/>
        <w:t>If, in respect of a Transaction, a Party has reached the limit of its entitlement of Force Majeure relief in any period (the "Relevant Period") in accordance with clause 7, then at any time thereafter, while that Party is affected by any event or circumstance which would entitle it to claim Force Majeure relief but for the limit imposed by clause 7, either Party may designate a day as an early termination date (the "</w:t>
      </w:r>
      <w:r>
        <w:rPr>
          <w:b/>
        </w:rPr>
        <w:t>Early Termination Date</w:t>
      </w:r>
      <w:r>
        <w:rPr/>
        <w:t>") in respect of that Transaction by giving not more than 20 days' notice to the other Party.  This notice shall specify that it is given pursuant to this paragraph 5(b).  The Early Termination Date may not be earlier than the day the notice is effective.  For the purposes of the following provisions of this Schedule 4, the Party affected by Force Majeure shall be deemed to be the Defaulting Party, and the other Party shall be deemed to be the Non-Defaulting Party.</w:t>
      </w:r>
    </w:p>
    <w:p>
      <w:pPr>
        <w:pStyle w:val="Level3"/>
        <w:rPr/>
      </w:pPr>
      <w:r>
        <w:rPr/>
        <w:t>(c)</w:t>
        <w:tab/>
        <w:t>The rights under paragraphs (a) and (b) above are in addition to any other remedies available under this Agreement or at law.</w:t>
      </w:r>
    </w:p>
    <w:p>
      <w:pPr>
        <w:pStyle w:val="Level3"/>
        <w:rPr/>
      </w:pPr>
      <w:r>
        <w:rPr/>
        <w:t>(d)</w:t>
        <w:tab/>
        <w:t>The notice of the Early Termination Date may be made by telephone if that notice is confirmed in writing within 2 Banking Days.</w:t>
      </w:r>
    </w:p>
    <w:p>
      <w:pPr>
        <w:pStyle w:val="Level1"/>
        <w:keepNext w:val="true"/>
        <w:numPr>
          <w:ilvl w:val="0"/>
          <w:numId w:val="12"/>
        </w:numPr>
        <w:ind w:hanging="0" w:start="0"/>
        <w:rPr>
          <w:b/>
        </w:rPr>
      </w:pPr>
      <w:r>
        <w:rPr>
          <w:b/>
        </w:rPr>
        <w:t>Early Termination Date</w:t>
      </w:r>
    </w:p>
    <w:p>
      <w:pPr>
        <w:pStyle w:val="Level3"/>
        <w:rPr/>
      </w:pPr>
      <w:r>
        <w:rPr/>
        <w:t>(a)</w:t>
        <w:tab/>
        <w:t>If notice designating an Early Termination Date is given under paragraph 5, the Early Termination Date shall occur on the date so designated even if the circumstances giving rise to the Event of Default or Force Majeure are no longer continuing.</w:t>
      </w:r>
    </w:p>
    <w:p>
      <w:pPr>
        <w:pStyle w:val="Level3"/>
        <w:rPr/>
      </w:pPr>
      <w:r>
        <w:rPr/>
        <w:t>(b)</w:t>
        <w:tab/>
        <w:t xml:space="preserve">Upon the effective designation of an Early Termination Date: </w:t>
      </w:r>
    </w:p>
    <w:p>
      <w:pPr>
        <w:pStyle w:val="Level4"/>
        <w:numPr>
          <w:ilvl w:val="3"/>
          <w:numId w:val="12"/>
        </w:numPr>
        <w:ind w:hanging="0" w:start="2126"/>
        <w:rPr/>
      </w:pPr>
      <w:r>
        <w:rPr/>
        <w:t xml:space="preserve">no further payments or performance of the Parties' Substantive Obligations will be required in respect of all Transactions (in the case of termination pursuant to paragraph 5(a)) or in respect of the Transaction or Transactions concerned (in the case of termination pursuant to paragraph 5(b)); and </w:t>
      </w:r>
    </w:p>
    <w:p>
      <w:pPr>
        <w:pStyle w:val="Level4"/>
        <w:numPr>
          <w:ilvl w:val="3"/>
          <w:numId w:val="12"/>
        </w:numPr>
        <w:ind w:hanging="0" w:start="2126"/>
        <w:rPr/>
      </w:pPr>
      <w:r>
        <w:rPr/>
        <w:t>the amount, if any, payable in respect of an Early Termination Date shall be determined pursuant to paragraph 7.</w:t>
      </w:r>
    </w:p>
    <w:p>
      <w:pPr>
        <w:pStyle w:val="Level1"/>
        <w:numPr>
          <w:ilvl w:val="0"/>
          <w:numId w:val="12"/>
        </w:numPr>
        <w:ind w:hanging="0" w:start="0"/>
        <w:rPr>
          <w:b/>
        </w:rPr>
      </w:pPr>
      <w:r>
        <w:rPr>
          <w:b/>
        </w:rPr>
        <w:t>Early Termination Amount</w:t>
      </w:r>
    </w:p>
    <w:p>
      <w:pPr>
        <w:pStyle w:val="Level3"/>
        <w:rPr/>
      </w:pPr>
      <w:r>
        <w:rPr/>
        <w:t>(a)</w:t>
        <w:tab/>
        <w:t>On, or as soon as reasonably practicable after, the Early Termination Date, the Non-Defaulting Party shall in good faith calculate the termination payment (the "</w:t>
      </w:r>
      <w:r>
        <w:rPr>
          <w:b/>
        </w:rPr>
        <w:t>Early Termination Amount</w:t>
      </w:r>
      <w:r>
        <w:rPr/>
        <w:t>"), being the Loss for all Transactions (in the case of termination pursuant to paragraph 6(a)) or for the Transaction or Transactions concerned (in the case of termination pursuant to paragraph 5(b).</w:t>
      </w:r>
    </w:p>
    <w:p>
      <w:pPr>
        <w:pStyle w:val="Level3"/>
        <w:rPr/>
      </w:pPr>
      <w:r>
        <w:rPr/>
        <w:t>(b)</w:t>
        <w:tab/>
        <w:t>"</w:t>
      </w:r>
      <w:r>
        <w:rPr>
          <w:b/>
        </w:rPr>
        <w:t>Loss</w:t>
      </w:r>
      <w:r>
        <w:rPr/>
        <w:t>" means an amount that the Non-Defaulting Party reasonably determines in good faith to be its total losses and costs (or gain, in which case expressed as a negative number) in connection with the termination of the Transactions, including any loss of bargain, cost of funding or, at the election of the Non-Defaulting Party but without duplication, loss or cost incurred as a result of its terminating, liquidating, obtaining or re-establishing any related trading position (or any gain resulting from any of them).  Loss includes losses and costs (or gains) in respect of any payment required to have been made and not made or non-compliance with Substantive Obligations (whether or not as a result of the suspension of the obligation to pay or to perform Substantive Obligations under paragraph 4 or paragraph 6(b)) on or before the Early Termination Date.  Loss does not include the Non-Defaulting Party's legal fees and out-of-pocket expenses.  The Non-Defaulting Party may (but need not) determine its Loss by reference to quotations of relevant rates or prices from one or more leading traders in the England and Wales wholesale gas market who are independent of the Parties.</w:t>
      </w:r>
    </w:p>
    <w:p>
      <w:pPr>
        <w:pStyle w:val="Level3"/>
        <w:rPr/>
      </w:pPr>
      <w:r>
        <w:rPr/>
        <w:t>(c)</w:t>
        <w:tab/>
        <w:t>The Non-Defaulting Party shall notify the Defaulting Party of the Early Termination Amount including detailed support for the Early Termination Amount calculation.</w:t>
      </w:r>
    </w:p>
    <w:p>
      <w:pPr>
        <w:pStyle w:val="Level3"/>
        <w:rPr/>
      </w:pPr>
      <w:r>
        <w:rPr/>
        <w:t>(d)</w:t>
        <w:tab/>
        <w:t>A Party shall not be required to enter into replacement transactions in order to determine the Early Termination Amount.</w:t>
      </w:r>
    </w:p>
    <w:p>
      <w:pPr>
        <w:pStyle w:val="Level3"/>
        <w:rPr/>
      </w:pPr>
      <w:r>
        <w:rPr/>
        <w:t>(e)</w:t>
        <w:tab/>
        <w:t>If the Early Termination Amount is a positive number, the Defaulting Party shall pay the Early Termination Amount to the Non-Defaulting Party within 2 Banking Days of invoice or notification of the Early Termination Amount (the "</w:t>
      </w:r>
      <w:r>
        <w:rPr>
          <w:b/>
        </w:rPr>
        <w:t>Termination Payment Date</w:t>
      </w:r>
      <w:r>
        <w:rPr/>
        <w:t>"), which amount shall bear interest in accordance with clause 6.6.1 of NBP 97 .</w:t>
      </w:r>
    </w:p>
    <w:p>
      <w:pPr>
        <w:pStyle w:val="Level3"/>
        <w:rPr/>
      </w:pPr>
      <w:r>
        <w:rPr/>
        <w:t>(f)</w:t>
        <w:tab/>
        <w:t>If the Early Termination Amount is a negative number, the Non-Defaulting Party shall pay the Early Termination Amount to the Defaulting Party within 15 Banking Days of the Termination Payment Date, which amount shall bear interest in accordance with clause 6.6.1 of NBP 97 .</w:t>
      </w:r>
    </w:p>
    <w:p>
      <w:pPr>
        <w:pStyle w:val="Level3"/>
        <w:rPr/>
      </w:pPr>
      <w:r>
        <w:rPr/>
        <w:t>(g)</w:t>
        <w:tab/>
        <w:t>The Non-Defaulting Party may, at its option, set off the Early Termination Amount against any or all other amounts owing (whether or not matured, contingent or invoiced) between the Parties under this Agreement or under any other agreements, instruments or undertakings between the Parties.  The right of set off shall be without prejudice and in addition to any right of set off, combination of accounts, lien, charge or other right to which any party is at any time otherwise entitled (whether by operation of law, by contract or otherwise).  If an amount is unascertained, the Non-Defaulting Party may reasonably estimate the amount to be set off.  The Parties shall make any adjustment payment required within 3 Banking Days of the amount becoming ascertained.</w:t>
      </w:r>
    </w:p>
    <w:p>
      <w:pPr>
        <w:pStyle w:val="Level3"/>
        <w:rPr/>
      </w:pPr>
      <w:r>
        <w:rPr/>
        <w:t>(g)</w:t>
        <w:tab/>
        <w:t>Disputed amounts under this paragraph 8 shall be paid by the Defaulting Party subject to refund with interest calculated at the rate specified in clause 6.6.1 of NBP 97  if the dispute is resolved in favour of the Defaulting Party.</w:t>
      </w:r>
    </w:p>
    <w:p>
      <w:pPr>
        <w:pStyle w:val="Level1"/>
        <w:keepNext w:val="true"/>
        <w:numPr>
          <w:ilvl w:val="0"/>
          <w:numId w:val="12"/>
        </w:numPr>
        <w:ind w:hanging="0" w:start="0"/>
        <w:rPr>
          <w:b/>
        </w:rPr>
      </w:pPr>
      <w:r>
        <w:rPr>
          <w:b/>
        </w:rPr>
        <w:t>Illegality</w:t>
      </w:r>
    </w:p>
    <w:p>
      <w:pPr>
        <w:pStyle w:val="Body2"/>
        <w:keepNext w:val="true"/>
        <w:rPr/>
      </w:pPr>
      <w:r>
        <w:rPr/>
        <w:t>If,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that date, it becomes unlawful (other than as a result of a breach by the relevant Party of clause 3 of NBP 97 )for a Party (the</w:t>
      </w:r>
      <w:r>
        <w:rPr>
          <w:b/>
        </w:rPr>
        <w:t xml:space="preserve"> </w:t>
      </w:r>
      <w:r>
        <w:rPr/>
        <w:t>"</w:t>
      </w:r>
      <w:r>
        <w:rPr>
          <w:b/>
        </w:rPr>
        <w:t>Affected Party</w:t>
      </w:r>
      <w:r>
        <w:rPr/>
        <w:t>"):</w:t>
      </w:r>
    </w:p>
    <w:p>
      <w:pPr>
        <w:pStyle w:val="Level3"/>
        <w:rPr/>
      </w:pPr>
      <w:r>
        <w:rPr/>
        <w:t>(a)</w:t>
        <w:tab/>
        <w:t>to perform any absolute or contingent obligation to make a payment or delivery or to receive a payment or delivery in respect of that Transaction or to comply with any other material provision of this Agreement relating to that Transaction; or</w:t>
      </w:r>
    </w:p>
    <w:p>
      <w:pPr>
        <w:pStyle w:val="Level3"/>
        <w:rPr/>
      </w:pPr>
      <w:r>
        <w:rPr/>
        <w:t>(b)</w:t>
        <w:tab/>
        <w:t>to perform, or for any Credit Support Provider of that Party to perform, any contingent or other obligation which the Party (or that Credit Support Provider) has under any Credit Support Document relating to that Transaction,</w:t>
      </w:r>
    </w:p>
    <w:p>
      <w:pPr>
        <w:pStyle w:val="Body2"/>
        <w:rPr/>
      </w:pPr>
      <w:r>
        <w:rPr/>
        <w:t>(an "</w:t>
      </w:r>
      <w:r>
        <w:rPr>
          <w:b/>
        </w:rPr>
        <w:t>Illegality</w:t>
      </w:r>
      <w:r>
        <w:rPr/>
        <w:t>") then, unless the Parties otherwise agree in writing, either Party may elect to terminate, liquidate and accelerate that Transaction in accordance with paragraphs 5, 6 and 7, except that, for the purposes of paragraph 5, either Party may designate an Early Termination Date and, for the purposes of paragraphs 6 and 7, references to the Defaulting Party shall be read as references to the Affected Party, references to the Non-Defaulting Party shall be read as references to the Party which is not the Affected Party, and references to "all Transactions" shall be read as references to all Transactions affected by the Illegality.  However, if both Parties are Affected Parties, each Party shall determine the Early Termination Amount in respect of the terminated Transactions and the amount payable shall be the algebraic average of the two Early Termination Amounts.</w:t>
      </w:r>
    </w:p>
    <w:p>
      <w:pPr>
        <w:pStyle w:val="Level1"/>
        <w:numPr>
          <w:ilvl w:val="0"/>
          <w:numId w:val="12"/>
        </w:numPr>
        <w:ind w:hanging="0" w:start="0"/>
        <w:rPr>
          <w:b/>
        </w:rPr>
      </w:pPr>
      <w:r>
        <w:rPr>
          <w:b/>
        </w:rPr>
        <w:t>Event of Default and Illegality</w:t>
      </w:r>
    </w:p>
    <w:p>
      <w:pPr>
        <w:pStyle w:val="Body2"/>
        <w:rPr/>
      </w:pPr>
      <w:r>
        <w:rPr/>
        <w:t>If an event or circumstance which would otherwise constitute or give rise to an Event of Default also constitutes an Illegality it shall be treated as an Illegality and shall not constitute an Event of Default.</w:t>
      </w:r>
    </w:p>
    <w:p>
      <w:pPr>
        <w:pStyle w:val="Level1"/>
        <w:numPr>
          <w:ilvl w:val="0"/>
          <w:numId w:val="12"/>
        </w:numPr>
        <w:ind w:hanging="0" w:start="0"/>
        <w:rPr>
          <w:b/>
        </w:rPr>
      </w:pPr>
      <w:r>
        <w:rPr>
          <w:b/>
        </w:rPr>
        <w:t>Financial Information</w:t>
      </w:r>
    </w:p>
    <w:p>
      <w:pPr>
        <w:pStyle w:val="Body2"/>
        <w:rPr/>
      </w:pPr>
      <w:r>
        <w:rPr/>
        <w:t>If requested by either Party, the other Party shall deliver, within 120 days following the end of each financial year as applicable to such Party, a copy of:</w:t>
      </w:r>
    </w:p>
    <w:p>
      <w:pPr>
        <w:pStyle w:val="Level3"/>
        <w:rPr/>
      </w:pPr>
      <w:r>
        <w:rPr/>
        <w:t>(a)</w:t>
        <w:tab/>
        <w:t xml:space="preserve">its, or </w:t>
      </w:r>
    </w:p>
    <w:p>
      <w:pPr>
        <w:pStyle w:val="Level3"/>
        <w:rPr/>
      </w:pPr>
      <w:r>
        <w:rPr/>
        <w:t>(b)</w:t>
        <w:tab/>
        <w:t xml:space="preserve">in the case of Enron Capital &amp; Trade Resources Limited, Enron Corp's, or </w:t>
      </w:r>
    </w:p>
    <w:p>
      <w:pPr>
        <w:pStyle w:val="Level3"/>
        <w:rPr/>
      </w:pPr>
      <w:r>
        <w:rPr/>
        <w:t>(c)</w:t>
        <w:tab/>
        <w:t>if a Credit Support Provider has provided a Credit Support Document in respect of such Party's obligations under this Agreement, the Credit Support Provider's</w:t>
      </w:r>
    </w:p>
    <w:p>
      <w:pPr>
        <w:pStyle w:val="Body2"/>
        <w:rPr/>
      </w:pPr>
      <w:r>
        <w:rPr/>
        <w:t>annual report for such financial year, containing audited, consolidated financial statements for such financial year, prepared in accordance with generally accepted accounting principles.  If there is any delay in providing such statements, such delay shall not be considered a default provided that the Party providing them does so diligently.</w:t>
      </w:r>
    </w:p>
    <w:p>
      <w:pPr>
        <w:pStyle w:val="Level1"/>
        <w:numPr>
          <w:ilvl w:val="0"/>
          <w:numId w:val="12"/>
        </w:numPr>
        <w:ind w:hanging="0" w:start="0"/>
        <w:rPr>
          <w:b/>
        </w:rPr>
      </w:pPr>
      <w:r>
        <w:rPr>
          <w:b/>
        </w:rPr>
        <w:t>Performance Assurance</w:t>
      </w:r>
    </w:p>
    <w:p>
      <w:pPr>
        <w:pStyle w:val="Level1"/>
        <w:numPr>
          <w:ilvl w:val="0"/>
          <w:numId w:val="0"/>
        </w:numPr>
        <w:ind w:hanging="0" w:start="624" w:end="0"/>
        <w:rPr/>
      </w:pPr>
      <w:r>
        <w:rPr/>
        <w:t>Either Party, (the "</w:t>
      </w:r>
      <w:r>
        <w:rPr>
          <w:b/>
        </w:rPr>
        <w:t>Requesting Party</w:t>
      </w:r>
      <w:r>
        <w:rPr/>
        <w:t>") may request that the other Party (the "</w:t>
      </w:r>
      <w:r>
        <w:rPr>
          <w:b/>
        </w:rPr>
        <w:t>Posting Party</w:t>
      </w:r>
      <w:r>
        <w:rPr/>
        <w:t>") provide the Requesting Party with Credit Cover if at any time the Requesting Party has reasonable grounds for insecurity concerning the Posting Party's ability to perform any of its obligations under a Specified Transaction. For the purpose of this paragraph 11:</w:t>
      </w:r>
    </w:p>
    <w:p>
      <w:pPr>
        <w:pStyle w:val="Level3"/>
        <w:rPr/>
      </w:pPr>
      <w:r>
        <w:rPr/>
        <w:t>(a)</w:t>
        <w:tab/>
        <w:t>Enron shall be deemed to have "reasonable grounds for insecurity" only if there has been a decrease in the rating of the long-term unsecured, unsubordinated debt of Morgan Stanley Dean Witter &amp; Co</w:t>
      </w:r>
      <w:r>
        <w:rPr>
          <w:i/>
        </w:rPr>
        <w:t xml:space="preserve"> </w:t>
      </w:r>
      <w:r>
        <w:rPr/>
        <w:t>below BBB- or Baa3 by S&amp;P or Moody's, respectively; and</w:t>
      </w:r>
    </w:p>
    <w:p>
      <w:pPr>
        <w:pStyle w:val="Level3"/>
        <w:rPr/>
      </w:pPr>
      <w:r>
        <w:rPr/>
        <w:t>(b)</w:t>
        <w:tab/>
        <w:t>Counterparty shall be deemed to have "reasonable grounds for insecurity" only if there has been a decrease in the rating of the long-term unsecured, unsubordinated debt of Enron Corp. below BBB- or Baa3 by S&amp;P's or Moody's, respectively.</w:t>
      </w:r>
    </w:p>
    <w:p>
      <w:pPr>
        <w:pStyle w:val="Normal"/>
        <w:jc w:val="start"/>
        <w:rPr/>
      </w:pPr>
      <w:r>
        <w:rPr/>
      </w:r>
    </w:p>
    <w:p>
      <w:pPr>
        <w:pStyle w:val="Normal"/>
        <w:numPr>
          <w:ilvl w:val="0"/>
          <w:numId w:val="0"/>
        </w:numPr>
        <w:jc w:val="start"/>
        <w:outlineLvl w:val="0"/>
        <w:rPr/>
      </w:pPr>
      <w:r>
        <w:rPr/>
      </w:r>
      <w:r>
        <w:br w:type="page"/>
      </w:r>
    </w:p>
    <w:p>
      <w:pPr>
        <w:pStyle w:val="Normal"/>
        <w:numPr>
          <w:ilvl w:val="0"/>
          <w:numId w:val="0"/>
        </w:numPr>
        <w:jc w:val="center"/>
        <w:outlineLvl w:val="0"/>
        <w:rPr/>
      </w:pPr>
      <w:r>
        <w:fldChar w:fldCharType="begin"/>
      </w:r>
      <w:r>
        <w:rPr/>
        <w:instrText xml:space="preserve"> TC "Schedule 5</w:instrText>
        <w:tab/>
        <w:instrText xml:space="preserve">representations and warranties " \l 1 </w:instrText>
      </w:r>
      <w:r>
        <w:rPr/>
        <w:fldChar w:fldCharType="separate"/>
      </w:r>
      <w:r>
        <w:rPr/>
      </w:r>
      <w:r>
        <w:rPr/>
        <w:fldChar w:fldCharType="end"/>
      </w:r>
      <w:bookmarkStart w:id="62" w:name="__RefHeading___Toc529165743"/>
      <w:bookmarkEnd w:id="62"/>
      <w:r>
        <w:rPr>
          <w:b/>
          <w:smallCaps/>
        </w:rPr>
        <w:t>Schedule 5</w:t>
      </w:r>
    </w:p>
    <w:p>
      <w:pPr>
        <w:pStyle w:val="Normal"/>
        <w:numPr>
          <w:ilvl w:val="0"/>
          <w:numId w:val="0"/>
        </w:numPr>
        <w:jc w:val="center"/>
        <w:outlineLvl w:val="0"/>
        <w:rPr>
          <w:b/>
          <w:smallCaps/>
        </w:rPr>
      </w:pPr>
      <w:r>
        <w:rPr>
          <w:b/>
          <w:smallCaps/>
        </w:rPr>
      </w:r>
    </w:p>
    <w:p>
      <w:pPr>
        <w:pStyle w:val="Normal"/>
        <w:numPr>
          <w:ilvl w:val="0"/>
          <w:numId w:val="0"/>
        </w:numPr>
        <w:jc w:val="center"/>
        <w:outlineLvl w:val="0"/>
        <w:rPr>
          <w:b/>
          <w:smallCaps/>
        </w:rPr>
      </w:pPr>
      <w:r>
        <w:rPr>
          <w:b/>
          <w:smallCaps/>
        </w:rPr>
        <w:t>Representations and Warranties</w:t>
      </w:r>
    </w:p>
    <w:p>
      <w:pPr>
        <w:pStyle w:val="Normal"/>
        <w:numPr>
          <w:ilvl w:val="0"/>
          <w:numId w:val="0"/>
        </w:numPr>
        <w:jc w:val="center"/>
        <w:outlineLvl w:val="0"/>
        <w:rPr>
          <w:b/>
          <w:smallCaps/>
        </w:rPr>
      </w:pPr>
      <w:r>
        <w:rPr>
          <w:b/>
          <w:smallCaps/>
        </w:rPr>
      </w:r>
    </w:p>
    <w:p>
      <w:pPr>
        <w:pStyle w:val="Level1"/>
        <w:numPr>
          <w:ilvl w:val="0"/>
          <w:numId w:val="15"/>
        </w:numPr>
        <w:rPr/>
      </w:pPr>
      <w:r>
        <w:rPr/>
        <w:t xml:space="preserve">Without prejudice to any representations or warranties made by a Party under NBP 97 or in any Confirmation or Option Confirmation, as applicable, each Party further represents and warrants to the other Party as at the date of entering into this Master Agreement and, where appropriate, on the date of entering into each Transaction, that: </w:t>
      </w:r>
    </w:p>
    <w:p>
      <w:pPr>
        <w:pStyle w:val="Level6"/>
        <w:numPr>
          <w:ilvl w:val="5"/>
          <w:numId w:val="12"/>
        </w:numPr>
        <w:tabs>
          <w:tab w:val="clear" w:pos="4320"/>
        </w:tabs>
        <w:ind w:hanging="709" w:start="1418" w:end="0"/>
        <w:rPr/>
      </w:pPr>
      <w:r>
        <w:rPr/>
        <w:t>it is duly organised and validly existing under the laws of the jurisdiction of its organisation or incorporation and, if relevant under such laws, is in good standing;</w:t>
      </w:r>
    </w:p>
    <w:p>
      <w:pPr>
        <w:pStyle w:val="Level6"/>
        <w:numPr>
          <w:ilvl w:val="5"/>
          <w:numId w:val="12"/>
        </w:numPr>
        <w:tabs>
          <w:tab w:val="clear" w:pos="4320"/>
        </w:tabs>
        <w:ind w:hanging="709" w:start="1418" w:end="0"/>
        <w:rPr/>
      </w:pPr>
      <w:r>
        <w:rPr/>
        <w:t>it has the corporate, governmental and/or other capacity, authority and power to execute, deliver, and enter into its obligations under NBP 97, this Agreement and each Confirmation or Option Confirmation, as applicable, and has taken all necessary action to authorise such execution, delivery and performance, and its obligations under each such document and any other document relating hereto to or to a Transaction which it is a party constitute its legal and binding obligations, enforceable in accordance with their respective terms (subject to applicable bankruptcy, reorganisation, insolvency, moratorium or similar laws affecting creditors' rights generally);</w:t>
      </w:r>
    </w:p>
    <w:p>
      <w:pPr>
        <w:pStyle w:val="Level6"/>
        <w:numPr>
          <w:ilvl w:val="5"/>
          <w:numId w:val="12"/>
        </w:numPr>
        <w:tabs>
          <w:tab w:val="clear" w:pos="4320"/>
        </w:tabs>
        <w:ind w:hanging="709" w:start="1418" w:end="0"/>
        <w:rPr/>
      </w:pPr>
      <w:r>
        <w:rPr>
          <w:lang w:val="en-US"/>
        </w:rPr>
        <w:t xml:space="preserve">it has total assets exceeding $10 million, or has a net worth exceeding $1 million and enters into each Transaction in connection with the conduct of its business or to manage the risk associated with an asset or liability actually or reasonably likely to be owned or incurred by it in the conduct of its business, or is otherwise an "Eligible Contract Participant" as defined in Section 1a (12) of the Commodity Exchange Act, as amended, 7 U.S.C. § 1 (12). </w:t>
      </w:r>
    </w:p>
    <w:p>
      <w:pPr>
        <w:pStyle w:val="Level6"/>
        <w:numPr>
          <w:ilvl w:val="5"/>
          <w:numId w:val="12"/>
        </w:numPr>
        <w:tabs>
          <w:tab w:val="clear" w:pos="4320"/>
        </w:tabs>
        <w:ind w:hanging="709" w:start="1418" w:end="0"/>
        <w:rPr/>
      </w:pPr>
      <w:r>
        <w:rPr/>
        <w:t>each Transaction is entered into in connection with the conduct of its business and it has the ability to make and take delivery of Gas pursuant to the Network Code;</w:t>
      </w:r>
    </w:p>
    <w:p>
      <w:pPr>
        <w:pStyle w:val="Level6"/>
        <w:numPr>
          <w:ilvl w:val="5"/>
          <w:numId w:val="12"/>
        </w:numPr>
        <w:tabs>
          <w:tab w:val="clear" w:pos="4320"/>
        </w:tabs>
        <w:ind w:hanging="709" w:start="1418" w:end="0"/>
        <w:rPr/>
      </w:pPr>
      <w:r>
        <w:rPr/>
        <w:t xml:space="preserve">with respect to each Transaction involving the purchase or sale of an Option, it is a producer, processor, commercial user or merchant handling Natural Gas, and it is entering into such Transaction for purposes related to its business as such; </w:t>
      </w:r>
    </w:p>
    <w:p>
      <w:pPr>
        <w:pStyle w:val="Level6"/>
        <w:numPr>
          <w:ilvl w:val="5"/>
          <w:numId w:val="12"/>
        </w:numPr>
        <w:tabs>
          <w:tab w:val="clear" w:pos="4320"/>
        </w:tabs>
        <w:ind w:hanging="709" w:start="1418" w:end="0"/>
        <w:rPr/>
      </w:pPr>
      <w:r>
        <w:rPr/>
        <w:t xml:space="preserve">it is not relying upon any representations of the other Party other than those set forth in the Agreement, NBP 97, a Confirmation, an Option Confirmation or any written guarantee; </w:t>
      </w:r>
    </w:p>
    <w:p>
      <w:pPr>
        <w:pStyle w:val="Level6"/>
        <w:numPr>
          <w:ilvl w:val="5"/>
          <w:numId w:val="12"/>
        </w:numPr>
        <w:tabs>
          <w:tab w:val="clear" w:pos="4320"/>
        </w:tabs>
        <w:ind w:hanging="709" w:start="1418" w:end="0"/>
        <w:rPr/>
      </w:pPr>
      <w:r>
        <w:rPr/>
        <w:t>it has entered into each Transaction as principal (and not as advisor, agent, broker, or in any other capacity, fiduciary or otherwise), and with a full understanding of the material terms and risks thereof; and</w:t>
      </w:r>
    </w:p>
    <w:p>
      <w:pPr>
        <w:pStyle w:val="Level6"/>
        <w:numPr>
          <w:ilvl w:val="5"/>
          <w:numId w:val="12"/>
        </w:numPr>
        <w:tabs>
          <w:tab w:val="clear" w:pos="4320"/>
        </w:tabs>
        <w:ind w:hanging="3544" w:start="4253" w:end="0"/>
        <w:rPr/>
      </w:pPr>
      <w:r>
        <w:rPr/>
        <w:t>any representations made by it in Schedule 1 hereto are true and accurate.</w:t>
      </w:r>
    </w:p>
    <w:p>
      <w:pPr>
        <w:pStyle w:val="Level1"/>
        <w:numPr>
          <w:ilvl w:val="0"/>
          <w:numId w:val="15"/>
        </w:numPr>
        <w:rPr/>
      </w:pPr>
      <w:r>
        <w:rPr/>
        <w:t>All other warranties, express or implied, are disclaimed.</w:t>
      </w:r>
    </w:p>
    <w:p>
      <w:pPr>
        <w:pStyle w:val="IndexHeading"/>
        <w:numPr>
          <w:ilvl w:val="0"/>
          <w:numId w:val="0"/>
        </w:numPr>
        <w:outlineLvl w:val="0"/>
        <w:rPr>
          <w:smallCaps/>
        </w:rPr>
      </w:pPr>
      <w:r>
        <w:rPr>
          <w:smallCaps/>
        </w:rPr>
      </w:r>
    </w:p>
    <w:p>
      <w:pPr>
        <w:pStyle w:val="Normal"/>
        <w:numPr>
          <w:ilvl w:val="0"/>
          <w:numId w:val="0"/>
        </w:numPr>
        <w:jc w:val="start"/>
        <w:outlineLvl w:val="0"/>
        <w:rPr>
          <w:smallCaps/>
        </w:rPr>
      </w:pPr>
      <w:r>
        <w:rPr>
          <w:smallCaps/>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pPr>
      <w:r>
        <w:rPr/>
        <w:t>Executed by the Parties:</w:t>
      </w:r>
    </w:p>
    <w:p>
      <w:pPr>
        <w:pStyle w:val="Normal"/>
        <w:numPr>
          <w:ilvl w:val="0"/>
          <w:numId w:val="0"/>
        </w:numPr>
        <w:jc w:val="start"/>
        <w:outlineLvl w:val="0"/>
        <w:rPr/>
      </w:pPr>
      <w:r>
        <w:rPr/>
      </w:r>
    </w:p>
    <w:p>
      <w:pPr>
        <w:pStyle w:val="Normal"/>
        <w:numPr>
          <w:ilvl w:val="0"/>
          <w:numId w:val="0"/>
        </w:numPr>
        <w:jc w:val="start"/>
        <w:outlineLvl w:val="0"/>
        <w:rPr>
          <w:b/>
          <w:smallCaps/>
        </w:rPr>
      </w:pPr>
      <w:r>
        <w:rPr>
          <w:b/>
          <w:smallCaps/>
        </w:rPr>
      </w:r>
    </w:p>
    <w:p>
      <w:pPr>
        <w:pStyle w:val="Normal"/>
        <w:numPr>
          <w:ilvl w:val="0"/>
          <w:numId w:val="0"/>
        </w:numPr>
        <w:jc w:val="start"/>
        <w:outlineLvl w:val="0"/>
        <w:rPr>
          <w:b/>
          <w:smallCaps/>
        </w:rPr>
      </w:pPr>
      <w:r>
        <w:rPr>
          <w:b/>
          <w:smallCaps/>
        </w:rPr>
      </w:r>
    </w:p>
    <w:p>
      <w:pPr>
        <w:pStyle w:val="Normal"/>
        <w:tabs>
          <w:tab w:val="clear" w:pos="709"/>
          <w:tab w:val="left" w:pos="3686" w:leader="none"/>
        </w:tabs>
        <w:rPr/>
      </w:pPr>
      <w:r>
        <w:rPr/>
        <w:t>Signed by</w:t>
        <w:tab/>
        <w:tab/>
        <w:t>)</w:t>
      </w:r>
    </w:p>
    <w:p>
      <w:pPr>
        <w:pStyle w:val="Normal"/>
        <w:tabs>
          <w:tab w:val="clear" w:pos="709"/>
          <w:tab w:val="left" w:pos="3686" w:leader="none"/>
        </w:tabs>
        <w:rPr/>
      </w:pPr>
      <w:r>
        <w:rPr/>
        <w:t>for and on behalf of</w:t>
        <w:tab/>
        <w:tab/>
        <w:t>)</w:t>
      </w:r>
    </w:p>
    <w:p>
      <w:pPr>
        <w:pStyle w:val="Normal"/>
        <w:tabs>
          <w:tab w:val="clear" w:pos="709"/>
          <w:tab w:val="left" w:pos="3686" w:leader="none"/>
        </w:tabs>
        <w:rPr/>
      </w:pPr>
      <w:r>
        <w:rPr>
          <w:b/>
        </w:rPr>
        <w:t>Enron Capital &amp; Trade Resources Limited</w:t>
      </w:r>
      <w:r>
        <w:rPr/>
        <w:tab/>
        <w:t>)</w:t>
      </w:r>
    </w:p>
    <w:p>
      <w:pPr>
        <w:pStyle w:val="Header"/>
        <w:tabs>
          <w:tab w:val="clear" w:pos="4536"/>
          <w:tab w:val="clear" w:pos="9072"/>
          <w:tab w:val="left" w:pos="3686" w:leader="none"/>
        </w:tabs>
        <w:rPr/>
      </w:pPr>
      <w:r>
        <w:rPr/>
      </w:r>
    </w:p>
    <w:p>
      <w:pPr>
        <w:pStyle w:val="Normal"/>
        <w:tabs>
          <w:tab w:val="clear" w:pos="709"/>
          <w:tab w:val="left" w:pos="3686" w:leader="none"/>
        </w:tabs>
        <w:rPr/>
      </w:pPr>
      <w:r>
        <w:rPr/>
      </w:r>
    </w:p>
    <w:p>
      <w:pPr>
        <w:pStyle w:val="Normal"/>
        <w:tabs>
          <w:tab w:val="clear" w:pos="709"/>
          <w:tab w:val="left" w:pos="3686" w:leader="none"/>
        </w:tabs>
        <w:rPr/>
      </w:pPr>
      <w:r>
        <w:rPr/>
      </w:r>
    </w:p>
    <w:p>
      <w:pPr>
        <w:pStyle w:val="Normal"/>
        <w:tabs>
          <w:tab w:val="clear" w:pos="709"/>
          <w:tab w:val="left" w:pos="3686" w:leader="none"/>
        </w:tabs>
        <w:rPr/>
      </w:pPr>
      <w:r>
        <w:rPr/>
      </w:r>
    </w:p>
    <w:p>
      <w:pPr>
        <w:pStyle w:val="Normal"/>
        <w:tabs>
          <w:tab w:val="clear" w:pos="709"/>
          <w:tab w:val="left" w:pos="3686" w:leader="none"/>
        </w:tabs>
        <w:rPr/>
      </w:pPr>
      <w:r>
        <w:rPr/>
        <w:t xml:space="preserve">Signed by </w:t>
        <w:tab/>
        <w:tab/>
        <w:t>)</w:t>
      </w:r>
    </w:p>
    <w:p>
      <w:pPr>
        <w:pStyle w:val="Normal"/>
        <w:tabs>
          <w:tab w:val="clear" w:pos="709"/>
          <w:tab w:val="left" w:pos="3686" w:leader="none"/>
        </w:tabs>
        <w:rPr/>
      </w:pPr>
      <w:r>
        <w:rPr/>
        <w:t xml:space="preserve">for and on behalf of </w:t>
        <w:tab/>
        <w:tab/>
        <w:t>)</w:t>
      </w:r>
    </w:p>
    <w:p>
      <w:pPr>
        <w:pStyle w:val="Normal"/>
        <w:tabs>
          <w:tab w:val="clear" w:pos="709"/>
          <w:tab w:val="left" w:pos="3686" w:leader="none"/>
        </w:tabs>
        <w:rPr/>
      </w:pPr>
      <w:r>
        <w:rPr>
          <w:b/>
        </w:rPr>
        <w:t>Morgan Stanley Capital Group Inc.</w:t>
      </w:r>
      <w:r>
        <w:rPr/>
        <w:tab/>
        <w:tab/>
        <w:t>)</w:t>
      </w:r>
    </w:p>
    <w:p>
      <w:pPr>
        <w:pStyle w:val="Normal"/>
        <w:numPr>
          <w:ilvl w:val="0"/>
          <w:numId w:val="0"/>
        </w:numPr>
        <w:jc w:val="start"/>
        <w:outlineLvl w:val="0"/>
        <w:rPr/>
      </w:pPr>
      <w:r>
        <w:rPr/>
      </w:r>
    </w:p>
    <w:sectPr>
      <w:headerReference w:type="default" r:id="rId15"/>
      <w:headerReference w:type="first" r:id="rId16"/>
      <w:footerReference w:type="default" r:id="rId17"/>
      <w:footerReference w:type="first" r:id="rId18"/>
      <w:type w:val="nextPage"/>
      <w:pgSz w:w="11906" w:h="16838"/>
      <w:pgMar w:left="1418" w:right="1418" w:gutter="0" w:header="397" w:top="851" w:footer="397"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lang w:val="en-US"/>
      </w:rPr>
    </w:pPr>
    <w:r>
      <w:rPr>
        <w:lang w:val="en-U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p>
    <w:pPr>
      <w:pStyle w:val="Header"/>
      <w:jc w:val="cent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pPr>
      <w:pStyle w:val="Header"/>
      <w:jc w:val="cent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 xml:space="preserve"> -</w:t>
    </w:r>
  </w:p>
  <w:p>
    <w:pPr>
      <w:pStyle w:val="Header"/>
      <w:jc w:val="center"/>
      <w:rPr>
        <w:rStyle w:val="PageNumb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09"/>
        </w:tabs>
        <w:ind w:start="709" w:hanging="709"/>
      </w:pPr>
      <w:rPr>
        <w:i w:val="false"/>
        <w:u w:val="none"/>
        <w:b w:val="false"/>
        <w:rFonts w:ascii="Arial" w:hAnsi="Arial" w:cs="Arial"/>
      </w:rPr>
    </w:lvl>
    <w:lvl w:ilvl="1">
      <w:start w:val="1"/>
      <w:isLgl/>
      <w:numFmt w:val="decimal"/>
      <w:lvlText w:val="%1.%2"/>
      <w:lvlJc w:val="start"/>
      <w:pPr>
        <w:tabs>
          <w:tab w:val="num" w:pos="709"/>
        </w:tabs>
        <w:ind w:start="709" w:hanging="709"/>
      </w:pPr>
      <w:rPr>
        <w:i w:val="false"/>
        <w:u w:val="none"/>
        <w:b w:val="false"/>
        <w:rFonts w:ascii="Arial" w:hAnsi="Arial" w:cs="Arial"/>
      </w:rPr>
    </w:lvl>
    <w:lvl w:ilvl="2">
      <w:start w:val="1"/>
      <w:numFmt w:val="lowerLetter"/>
      <w:lvlText w:val="(%3)"/>
      <w:lvlJc w:val="start"/>
      <w:pPr>
        <w:tabs>
          <w:tab w:val="num" w:pos="1418"/>
        </w:tabs>
        <w:ind w:start="1418" w:hanging="709"/>
      </w:pPr>
      <w:rPr>
        <w:i w:val="false"/>
        <w:u w:val="none"/>
        <w:b w:val="false"/>
        <w:rFonts w:ascii="Arial" w:hAnsi="Arial" w:cs="Arial"/>
      </w:rPr>
    </w:lvl>
    <w:lvl w:ilvl="3">
      <w:start w:val="1"/>
      <w:numFmt w:val="lowerRoman"/>
      <w:lvlText w:val="(%4)"/>
      <w:lvlJc w:val="start"/>
      <w:pPr>
        <w:tabs>
          <w:tab w:val="num" w:pos="2126"/>
        </w:tabs>
        <w:ind w:start="2126" w:hanging="708"/>
      </w:pPr>
      <w:rPr>
        <w:i w:val="false"/>
        <w:u w:val="none"/>
        <w:b w:val="false"/>
        <w:rFonts w:ascii="Arial" w:hAnsi="Arial" w:cs="Arial"/>
      </w:rPr>
    </w:lvl>
    <w:lvl w:ilvl="4">
      <w:start w:val="1"/>
      <w:numFmt w:val="decimal"/>
      <w:lvlText w:val="(%5)"/>
      <w:lvlJc w:val="start"/>
      <w:pPr>
        <w:tabs>
          <w:tab w:val="num" w:pos="2835"/>
        </w:tabs>
        <w:ind w:start="2835" w:hanging="709"/>
      </w:pPr>
      <w:rPr>
        <w:i w:val="false"/>
        <w:u w:val="none"/>
        <w:b w:val="false"/>
        <w:rFonts w:ascii="Arial" w:hAnsi="Arial" w:cs="Arial"/>
      </w:rPr>
    </w:lvl>
    <w:lvl w:ilvl="5">
      <w:start w:val="1"/>
      <w:numFmt w:val="lowerLetter"/>
      <w:lvlText w:val="(%6)"/>
      <w:lvlJc w:val="start"/>
      <w:pPr>
        <w:tabs>
          <w:tab w:val="num" w:pos="709"/>
        </w:tabs>
        <w:ind w:start="4253" w:hanging="709"/>
      </w:pPr>
      <w:rPr>
        <w:i w:val="false"/>
        <w:u w:val="none"/>
        <w:b w:val="false"/>
      </w:rPr>
    </w:lvl>
    <w:lvl w:ilvl="6">
      <w:start w:val="1"/>
      <w:numFmt w:val="none"/>
      <w:suff w:val="nothing"/>
      <w:lvlText w:val="Not Defined"/>
      <w:lvlJc w:val="start"/>
      <w:pPr>
        <w:tabs>
          <w:tab w:val="num" w:pos="5976"/>
        </w:tabs>
        <w:ind w:start="4536" w:hanging="0"/>
      </w:pPr>
      <w:rPr>
        <w:i w:val="false"/>
        <w:u w:val="none"/>
        <w:b w:val="false"/>
      </w:rPr>
    </w:lvl>
    <w:lvl w:ilvl="7">
      <w:start w:val="1"/>
      <w:numFmt w:val="none"/>
      <w:suff w:val="nothing"/>
      <w:lvlText w:val="Not defined"/>
      <w:lvlJc w:val="start"/>
      <w:pPr>
        <w:tabs>
          <w:tab w:val="num" w:pos="5976"/>
        </w:tabs>
        <w:ind w:start="4536" w:hanging="0"/>
      </w:pPr>
    </w:lvl>
    <w:lvl w:ilvl="8">
      <w:start w:val="1"/>
      <w:numFmt w:val="none"/>
      <w:suff w:val="nothing"/>
      <w:lvlText w:val="Not defined"/>
      <w:lvlJc w:val="start"/>
      <w:pPr>
        <w:tabs>
          <w:tab w:val="num" w:pos="5976"/>
        </w:tabs>
        <w:ind w:start="4536" w:hanging="0"/>
      </w:pPr>
    </w:lvl>
  </w:abstractNum>
  <w:abstractNum w:abstractNumId="1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4">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5">
    <w:lvl w:ilvl="0">
      <w:start w:val="1"/>
      <w:numFmt w:val="decimal"/>
      <w:lvlText w:val="%1."/>
      <w:lvlJc w:val="start"/>
      <w:pPr>
        <w:tabs>
          <w:tab w:val="num" w:pos="705"/>
        </w:tabs>
        <w:ind w:start="705" w:hanging="705"/>
      </w:pPr>
      <w:rPr/>
    </w:lvl>
  </w:abstractNum>
  <w:abstractNum w:abstractNumId="16">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2"/>
    <w:lvlOverride w:ilvl="0">
      <w:startOverride w:val="1"/>
    </w:lvlOverride>
  </w:num>
  <w:num w:numId="18">
    <w:abstractNumId w:val="16"/>
    <w:lvlOverride w:ilvl="0">
      <w:startOverride w:val="1"/>
    </w:lvlOverride>
  </w:num>
  <w:num w:numId="19">
    <w:abstractNumId w:val="14"/>
    <w:lvlOverride w:ilvl="0">
      <w:startOverride w:val="1"/>
    </w:lvlOverride>
    <w:lvlOverride w:ilvl="1">
      <w:startOverride w:val="1"/>
    </w:lvlOverride>
  </w:num>
  <w:num w:numId="20">
    <w:abstractNumId w:val="14"/>
    <w:lvlOverride w:ilvl="0">
      <w:startOverride w:val="1"/>
    </w:lvlOverride>
    <w:lvlOverride w:ilvl="1">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docVars>
    <w:docVar w:name="DMSLINK" w:val="TRUE"/>
    <w:docVar w:name="DMSREF" w:val="PCDOCS\LWDLIB01\763152\1"/>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Arial" w:hAnsi="Arial" w:eastAsia="Times New Roman" w:cs="Arial"/>
      <w:color w:val="auto"/>
      <w:sz w:val="21"/>
      <w:szCs w:val="20"/>
      <w:lang w:val="en-GB" w:bidi="ar-SA" w:eastAsia="zh-CN"/>
    </w:rPr>
  </w:style>
  <w:style w:type="paragraph" w:styleId="Heading1">
    <w:name w:val="heading 1"/>
    <w:basedOn w:val="Normal"/>
    <w:next w:val="Normal"/>
    <w:qFormat/>
    <w:pPr>
      <w:keepNext w:val="true"/>
      <w:numPr>
        <w:ilvl w:val="0"/>
        <w:numId w:val="1"/>
      </w:numPr>
      <w:spacing w:before="240" w:after="60"/>
      <w:jc w:val="start"/>
      <w:outlineLvl w:val="0"/>
    </w:pPr>
    <w:rPr>
      <w:b/>
      <w:sz w:val="28"/>
    </w:rPr>
  </w:style>
  <w:style w:type="paragraph" w:styleId="Heading2">
    <w:name w:val="heading 2"/>
    <w:basedOn w:val="Normal"/>
    <w:next w:val="Normal"/>
    <w:qFormat/>
    <w:pPr>
      <w:keepNext w:val="true"/>
      <w:numPr>
        <w:ilvl w:val="1"/>
        <w:numId w:val="1"/>
      </w:numPr>
      <w:spacing w:before="240" w:after="60"/>
      <w:jc w:val="start"/>
      <w:outlineLvl w:val="1"/>
    </w:pPr>
    <w:rPr>
      <w:b/>
      <w:i/>
      <w:sz w:val="24"/>
    </w:rPr>
  </w:style>
  <w:style w:type="paragraph" w:styleId="Heading3">
    <w:name w:val="heading 3"/>
    <w:basedOn w:val="Normal"/>
    <w:next w:val="Normal"/>
    <w:qFormat/>
    <w:pPr>
      <w:keepNext w:val="true"/>
      <w:numPr>
        <w:ilvl w:val="2"/>
        <w:numId w:val="1"/>
      </w:numPr>
      <w:spacing w:before="240" w:after="60"/>
      <w:jc w:val="start"/>
      <w:outlineLvl w:val="2"/>
    </w:pPr>
    <w:rPr>
      <w:sz w:val="24"/>
    </w:rPr>
  </w:style>
  <w:style w:type="paragraph" w:styleId="Heading4">
    <w:name w:val="heading 4"/>
    <w:basedOn w:val="Normal"/>
    <w:next w:val="Normal"/>
    <w:qFormat/>
    <w:pPr>
      <w:keepNext w:val="true"/>
      <w:numPr>
        <w:ilvl w:val="3"/>
        <w:numId w:val="1"/>
      </w:numPr>
      <w:spacing w:before="240" w:after="60"/>
      <w:jc w:val="start"/>
      <w:outlineLvl w:val="3"/>
    </w:pPr>
    <w:rPr>
      <w:b/>
      <w:sz w:val="24"/>
    </w:rPr>
  </w:style>
  <w:style w:type="paragraph" w:styleId="Heading5">
    <w:name w:val="heading 5"/>
    <w:basedOn w:val="Normal"/>
    <w:next w:val="Normal"/>
    <w:qFormat/>
    <w:pPr>
      <w:numPr>
        <w:ilvl w:val="4"/>
        <w:numId w:val="1"/>
      </w:numPr>
      <w:spacing w:before="240" w:after="60"/>
      <w:jc w:val="start"/>
      <w:outlineLvl w:val="4"/>
    </w:pPr>
    <w:rPr/>
  </w:style>
  <w:style w:type="paragraph" w:styleId="Heading6">
    <w:name w:val="heading 6"/>
    <w:basedOn w:val="Normal"/>
    <w:next w:val="Normal"/>
    <w:qFormat/>
    <w:pPr>
      <w:numPr>
        <w:ilvl w:val="5"/>
        <w:numId w:val="1"/>
      </w:numPr>
      <w:spacing w:before="240" w:after="60"/>
      <w:jc w:val="start"/>
      <w:outlineLvl w:val="5"/>
    </w:pPr>
    <w:rPr>
      <w:i/>
    </w:rPr>
  </w:style>
  <w:style w:type="paragraph" w:styleId="Heading7">
    <w:name w:val="heading 7"/>
    <w:basedOn w:val="Normal"/>
    <w:next w:val="Normal"/>
    <w:qFormat/>
    <w:pPr>
      <w:numPr>
        <w:ilvl w:val="6"/>
        <w:numId w:val="1"/>
      </w:numPr>
      <w:spacing w:before="240" w:after="60"/>
      <w:jc w:val="start"/>
      <w:outlineLvl w:val="6"/>
    </w:pPr>
    <w:rPr>
      <w:sz w:val="20"/>
    </w:rPr>
  </w:style>
  <w:style w:type="paragraph" w:styleId="Heading8">
    <w:name w:val="heading 8"/>
    <w:basedOn w:val="Normal"/>
    <w:next w:val="Normal"/>
    <w:qFormat/>
    <w:pPr>
      <w:numPr>
        <w:ilvl w:val="7"/>
        <w:numId w:val="1"/>
      </w:numPr>
      <w:spacing w:before="240" w:after="60"/>
      <w:jc w:val="start"/>
      <w:outlineLvl w:val="7"/>
    </w:pPr>
    <w:rPr>
      <w:i/>
      <w:sz w:val="20"/>
    </w:rPr>
  </w:style>
  <w:style w:type="paragraph" w:styleId="Heading9">
    <w:name w:val="heading 9"/>
    <w:basedOn w:val="Normal"/>
    <w:next w:val="Normal"/>
    <w:qFormat/>
    <w:pPr>
      <w:numPr>
        <w:ilvl w:val="8"/>
        <w:numId w:val="1"/>
      </w:numPr>
      <w:spacing w:before="240" w:after="60"/>
      <w:jc w:val="start"/>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2"/>
    </w:rPr>
  </w:style>
  <w:style w:type="character" w:styleId="WW8Num14z0">
    <w:name w:val="WW8Num14z0"/>
    <w:qFormat/>
    <w:rPr>
      <w:rFonts w:ascii="Times New Roman" w:hAnsi="Times New Roman" w:cs="Times New Roman"/>
      <w:b w:val="false"/>
      <w:i w:val="false"/>
      <w:sz w:val="22"/>
    </w:rPr>
  </w:style>
  <w:style w:type="character" w:styleId="WW8Num15z0">
    <w:name w:val="WW8Num15z0"/>
    <w:qFormat/>
    <w:rPr>
      <w:rFonts w:ascii="Arial" w:hAnsi="Arial" w:cs="Arial"/>
      <w:b w:val="false"/>
      <w:i w:val="false"/>
      <w:u w:val="none"/>
    </w:rPr>
  </w:style>
  <w:style w:type="character" w:styleId="WW8Num15z5">
    <w:name w:val="WW8Num15z5"/>
    <w:qFormat/>
    <w:rPr>
      <w:b w:val="false"/>
      <w:i w:val="false"/>
      <w:u w:val="none"/>
    </w:rPr>
  </w:style>
  <w:style w:type="character" w:styleId="WW8Num16z0">
    <w:name w:val="WW8Num16z0"/>
    <w:qFormat/>
    <w:rPr>
      <w:rFonts w:ascii="Times New Roman" w:hAnsi="Times New Roman" w:cs="Times New Roman"/>
      <w:b w:val="false"/>
      <w:i w:val="false"/>
      <w:sz w:val="22"/>
    </w:rPr>
  </w:style>
  <w:style w:type="character" w:styleId="WW8Num17z0">
    <w:name w:val="WW8Num17z0"/>
    <w:qFormat/>
    <w:rPr>
      <w:b w:val="false"/>
      <w:i w:val="false"/>
    </w:rPr>
  </w:style>
  <w:style w:type="character" w:styleId="WW8Num18z0">
    <w:name w:val="WW8Num18z0"/>
    <w:qFormat/>
    <w:rPr>
      <w:rFonts w:ascii="Symbol" w:hAnsi="Symbol" w:cs="Symbol"/>
    </w:rPr>
  </w:style>
  <w:style w:type="character" w:styleId="WW8Num19z0">
    <w:name w:val="WW8Num19z0"/>
    <w:qFormat/>
    <w:rPr>
      <w:u w:val="none"/>
    </w:rPr>
  </w:style>
  <w:style w:type="character" w:styleId="WW8Num20z0">
    <w:name w:val="WW8Num20z0"/>
    <w:qFormat/>
    <w:rPr/>
  </w:style>
  <w:style w:type="character" w:styleId="WW8Num21z0">
    <w:name w:val="WW8Num21z0"/>
    <w:qFormat/>
    <w:rPr>
      <w:rFonts w:ascii="CG Times" w:hAnsi="CG Times" w:cs="CG Times"/>
      <w:b w:val="false"/>
      <w:i w:val="false"/>
      <w:sz w:val="20"/>
    </w:rPr>
  </w:style>
  <w:style w:type="character" w:styleId="WW8Num21z1">
    <w:name w:val="WW8Num21z1"/>
    <w:qFormat/>
    <w:rPr>
      <w:b w:val="false"/>
      <w:i w:val="false"/>
      <w:sz w:val="20"/>
    </w:rPr>
  </w:style>
  <w:style w:type="character" w:styleId="WW8Num21z4">
    <w:name w:val="WW8Num21z4"/>
    <w:qFormat/>
    <w:rPr>
      <w:b w:val="false"/>
      <w:i w:val="false"/>
      <w:sz w:val="18"/>
    </w:rPr>
  </w:style>
  <w:style w:type="character" w:styleId="WW8Num21z8">
    <w:name w:val="WW8Num21z8"/>
    <w:qFormat/>
    <w:rPr>
      <w:b/>
      <w:i w:val="false"/>
      <w:caps/>
      <w:sz w:val="22"/>
    </w:rPr>
  </w:style>
  <w:style w:type="character" w:styleId="WW8Num23z0">
    <w:name w:val="WW8Num23z0"/>
    <w:qFormat/>
    <w:rPr>
      <w:rFonts w:ascii="CG Times" w:hAnsi="CG Times" w:cs="CG Times"/>
      <w:b w:val="false"/>
      <w:i w:val="false"/>
      <w:sz w:val="20"/>
    </w:rPr>
  </w:style>
  <w:style w:type="character" w:styleId="WW8Num23z1">
    <w:name w:val="WW8Num23z1"/>
    <w:qFormat/>
    <w:rPr>
      <w:b w:val="false"/>
      <w:i w:val="false"/>
      <w:sz w:val="20"/>
    </w:rPr>
  </w:style>
  <w:style w:type="character" w:styleId="WW8Num23z4">
    <w:name w:val="WW8Num23z4"/>
    <w:qFormat/>
    <w:rPr>
      <w:b w:val="false"/>
      <w:i w:val="false"/>
      <w:sz w:val="18"/>
    </w:rPr>
  </w:style>
  <w:style w:type="character" w:styleId="WW8Num23z8">
    <w:name w:val="WW8Num23z8"/>
    <w:qFormat/>
    <w:rPr>
      <w:b/>
      <w:i w:val="false"/>
      <w:caps/>
      <w:sz w:val="22"/>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2"/>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2"/>
    </w:rPr>
  </w:style>
  <w:style w:type="character" w:styleId="WW8Num33z0">
    <w:name w:val="WW8Num33z0"/>
    <w:qFormat/>
    <w:rPr>
      <w:rFonts w:ascii="Times New Roman" w:hAnsi="Times New Roman" w:cs="Times New Roman"/>
      <w:b w:val="false"/>
      <w:i w:val="false"/>
      <w:sz w:val="22"/>
    </w:rPr>
  </w:style>
  <w:style w:type="character" w:styleId="WW8Num34z0">
    <w:name w:val="WW8Num34z0"/>
    <w:qFormat/>
    <w:rPr>
      <w:rFonts w:ascii="Times New Roman" w:hAnsi="Times New Roman" w:cs="Times New Roman"/>
      <w:b w:val="false"/>
      <w:i w:val="false"/>
      <w:sz w:val="22"/>
    </w:rPr>
  </w:style>
  <w:style w:type="character" w:styleId="WW8Num35z0">
    <w:name w:val="WW8Num35z0"/>
    <w:qFormat/>
    <w:rPr>
      <w:rFonts w:ascii="CG Times" w:hAnsi="CG Times" w:cs="CG Times"/>
      <w:b w:val="false"/>
      <w:i w:val="false"/>
      <w:sz w:val="20"/>
    </w:rPr>
  </w:style>
  <w:style w:type="character" w:styleId="WW8Num35z1">
    <w:name w:val="WW8Num35z1"/>
    <w:qFormat/>
    <w:rPr>
      <w:b w:val="false"/>
      <w:i w:val="false"/>
      <w:sz w:val="20"/>
    </w:rPr>
  </w:style>
  <w:style w:type="character" w:styleId="WW8Num35z2">
    <w:name w:val="WW8Num35z2"/>
    <w:qFormat/>
    <w:rPr>
      <w:b w:val="false"/>
      <w:i w:val="false"/>
      <w:sz w:val="18"/>
    </w:rPr>
  </w:style>
  <w:style w:type="character" w:styleId="WW8Num35z8">
    <w:name w:val="WW8Num35z8"/>
    <w:qFormat/>
    <w:rPr>
      <w:b/>
      <w:i w:val="false"/>
      <w:caps/>
      <w:sz w:val="22"/>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Times New Roman" w:hAnsi="Times New Roman" w:cs="Times New Roman"/>
      <w:b w:val="false"/>
      <w:i w:val="false"/>
      <w:sz w:val="22"/>
    </w:rPr>
  </w:style>
  <w:style w:type="character" w:styleId="WW8Num39z0">
    <w:name w:val="WW8Num39z0"/>
    <w:qFormat/>
    <w:rPr>
      <w:rFonts w:ascii="Symbol" w:hAnsi="Symbol" w:cs="Symbol"/>
    </w:rPr>
  </w:style>
  <w:style w:type="character" w:styleId="WW8Num40z0">
    <w:name w:val="WW8Num40z0"/>
    <w:qFormat/>
    <w:rPr>
      <w:rFonts w:ascii="Times New Roman" w:hAnsi="Times New Roman" w:cs="Times New Roman"/>
      <w:b w:val="false"/>
      <w:i w:val="false"/>
      <w:sz w:val="22"/>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BoldItalicText">
    <w:name w:val="BoldItalicText"/>
    <w:basedOn w:val="DefaultParagraphFont"/>
    <w:qFormat/>
    <w:rPr>
      <w:b/>
      <w:i/>
    </w:rPr>
  </w:style>
  <w:style w:type="character" w:styleId="BoldText">
    <w:name w:val="BoldText"/>
    <w:basedOn w:val="DefaultParagraphFont"/>
    <w:qFormat/>
    <w:rPr>
      <w:b/>
    </w:rPr>
  </w:style>
  <w:style w:type="character" w:styleId="BoldUnderlinedText">
    <w:name w:val="BoldUnderlinedText"/>
    <w:basedOn w:val="DefaultParagraphFont"/>
    <w:qFormat/>
    <w:rPr>
      <w:b/>
      <w:u w:val="single"/>
    </w:rPr>
  </w:style>
  <w:style w:type="character" w:styleId="FootnoteCharacters">
    <w:name w:val="Footnote Characters"/>
    <w:basedOn w:val="DefaultParagraphFont"/>
    <w:qFormat/>
    <w:rPr>
      <w:vertAlign w:val="superscript"/>
    </w:rPr>
  </w:style>
  <w:style w:type="character" w:styleId="Heading1Text">
    <w:name w:val="Heading 1 Text"/>
    <w:basedOn w:val="BoldText"/>
    <w:qFormat/>
    <w:rPr>
      <w:smallCaps/>
    </w:rPr>
  </w:style>
  <w:style w:type="character" w:styleId="Heading2Text">
    <w:name w:val="Heading 2 Text"/>
    <w:basedOn w:val="BoldText"/>
    <w:qFormat/>
    <w:rPr/>
  </w:style>
  <w:style w:type="character" w:styleId="Heading3Text">
    <w:name w:val="Heading 3 Text"/>
    <w:basedOn w:val="Heading2Text"/>
    <w:qFormat/>
    <w:rPr/>
  </w:style>
  <w:style w:type="character" w:styleId="Heading4Text">
    <w:name w:val="Heading 4 Text"/>
    <w:basedOn w:val="Heading3Text"/>
    <w:qFormat/>
    <w:rPr/>
  </w:style>
  <w:style w:type="character" w:styleId="Heading5Text">
    <w:name w:val="Heading 5 Text"/>
    <w:basedOn w:val="Heading4Text"/>
    <w:qFormat/>
    <w:rPr/>
  </w:style>
  <w:style w:type="character" w:styleId="ItalicText">
    <w:name w:val="ItalicText"/>
    <w:basedOn w:val="DefaultParagraphFont"/>
    <w:qFormat/>
    <w:rPr>
      <w:i/>
    </w:rPr>
  </w:style>
  <w:style w:type="character" w:styleId="UnderlinedText">
    <w:name w:val="UnderlinedText"/>
    <w:basedOn w:val="DefaultParagraphFont"/>
    <w:qFormat/>
    <w:rPr>
      <w:u w:val="singl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CDOCsFooter">
    <w:name w:val="PCDOCs Footer"/>
    <w:basedOn w:val="DefaultParagraphFont"/>
    <w:qFormat/>
    <w:rPr>
      <w:rFonts w:ascii="Times New Roman" w:hAnsi="Times New Roman" w:cs="Times New Roman"/>
      <w:color w:val="0000FF"/>
      <w:sz w:val="16"/>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536" w:leader="none"/>
        <w:tab w:val="right" w:pos="9072" w:leader="none"/>
      </w:tabs>
    </w:pPr>
    <w:rPr/>
  </w:style>
  <w:style w:type="paragraph" w:styleId="Body">
    <w:name w:val="Body"/>
    <w:basedOn w:val="Normal"/>
    <w:qFormat/>
    <w:pPr>
      <w:spacing w:before="0" w:after="210"/>
    </w:pPr>
    <w:rPr/>
  </w:style>
  <w:style w:type="paragraph" w:styleId="TOC1">
    <w:name w:val="toc 1"/>
    <w:basedOn w:val="Body"/>
    <w:next w:val="Normal"/>
    <w:pPr>
      <w:tabs>
        <w:tab w:val="left" w:pos="709" w:leader="none"/>
        <w:tab w:val="right" w:pos="9072" w:leader="none"/>
      </w:tabs>
      <w:spacing w:lineRule="auto" w:line="360" w:before="0" w:after="120"/>
      <w:ind w:hanging="709" w:start="709" w:end="709"/>
    </w:pPr>
    <w:rPr>
      <w:lang w:val="en-CA" w:eastAsia="en-CA"/>
    </w:rPr>
  </w:style>
  <w:style w:type="paragraph" w:styleId="NormalIndent">
    <w:name w:val="Normal Indent"/>
    <w:basedOn w:val="Normal"/>
    <w:qFormat/>
    <w:pPr>
      <w:ind w:hanging="0" w:start="720" w:end="0"/>
    </w:pPr>
    <w:rPr/>
  </w:style>
  <w:style w:type="paragraph" w:styleId="Footer">
    <w:name w:val="footer"/>
    <w:basedOn w:val="Normal"/>
    <w:pPr>
      <w:tabs>
        <w:tab w:val="clear" w:pos="709"/>
        <w:tab w:val="center" w:pos="4536" w:leader="none"/>
        <w:tab w:val="right" w:pos="9072" w:leader="none"/>
      </w:tabs>
      <w:jc w:val="start"/>
    </w:pPr>
    <w:rPr>
      <w:sz w:val="16"/>
    </w:rPr>
  </w:style>
  <w:style w:type="paragraph" w:styleId="MacroText">
    <w:name w:val="Macro Text"/>
    <w:qFormat/>
    <w:pPr>
      <w:widowControl/>
      <w:tabs>
        <w:tab w:val="clear" w:pos="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GB" w:bidi="ar-SA" w:eastAsia="zh-CN"/>
    </w:rPr>
  </w:style>
  <w:style w:type="paragraph" w:styleId="TOC2">
    <w:name w:val="toc 2"/>
    <w:basedOn w:val="TOC1"/>
    <w:pPr>
      <w:tabs>
        <w:tab w:val="clear" w:pos="709"/>
        <w:tab w:val="left" w:pos="706" w:leader="none"/>
        <w:tab w:val="left" w:pos="2127" w:leader="none"/>
        <w:tab w:val="right" w:pos="9072" w:leader="none"/>
      </w:tabs>
      <w:ind w:hanging="709" w:start="1418" w:end="709"/>
    </w:pPr>
    <w:rPr>
      <w:b/>
      <w:smallCaps/>
    </w:rPr>
  </w:style>
  <w:style w:type="paragraph" w:styleId="TOC3">
    <w:name w:val="toc 3"/>
    <w:basedOn w:val="TOC2"/>
    <w:next w:val="Normal"/>
    <w:pPr>
      <w:tabs>
        <w:tab w:val="left" w:pos="706" w:leader="none"/>
        <w:tab w:val="left" w:pos="1418" w:leader="none"/>
        <w:tab w:val="left" w:pos="2127" w:leader="none"/>
        <w:tab w:val="right" w:pos="9072" w:leader="none"/>
      </w:tabs>
      <w:ind w:hanging="709" w:start="2127" w:end="709"/>
    </w:pPr>
    <w:rPr/>
  </w:style>
  <w:style w:type="paragraph" w:styleId="TOC4">
    <w:name w:val="toc 4"/>
    <w:basedOn w:val="Normal"/>
    <w:next w:val="Normal"/>
    <w:pPr>
      <w:ind w:hanging="0" w:start="2126" w:end="709"/>
    </w:pPr>
    <w:rPr/>
  </w:style>
  <w:style w:type="paragraph" w:styleId="TOC5">
    <w:name w:val="toc 5"/>
    <w:basedOn w:val="Normal"/>
    <w:next w:val="Normal"/>
    <w:pPr>
      <w:ind w:hanging="0" w:start="2835" w:end="709"/>
    </w:pPr>
    <w:rPr/>
  </w:style>
  <w:style w:type="paragraph" w:styleId="EnvelopeAddress">
    <w:name w:val="envelope address"/>
    <w:basedOn w:val="Normal"/>
    <w:pPr>
      <w:ind w:hanging="0" w:start="2880" w:end="0"/>
    </w:pPr>
    <w:rPr/>
  </w:style>
  <w:style w:type="paragraph" w:styleId="Body1">
    <w:name w:val="Body 1"/>
    <w:basedOn w:val="Body"/>
    <w:qFormat/>
    <w:pPr/>
    <w:rPr/>
  </w:style>
  <w:style w:type="paragraph" w:styleId="Body2">
    <w:name w:val="Body 2"/>
    <w:basedOn w:val="Body1"/>
    <w:qFormat/>
    <w:pPr>
      <w:ind w:hanging="0" w:start="709" w:end="0"/>
    </w:pPr>
    <w:rPr/>
  </w:style>
  <w:style w:type="paragraph" w:styleId="Body3">
    <w:name w:val="Body 3"/>
    <w:basedOn w:val="Body2"/>
    <w:qFormat/>
    <w:pPr>
      <w:ind w:hanging="0" w:start="1418" w:end="0"/>
    </w:pPr>
    <w:rPr/>
  </w:style>
  <w:style w:type="paragraph" w:styleId="Body4">
    <w:name w:val="Body 4"/>
    <w:basedOn w:val="Body3"/>
    <w:qFormat/>
    <w:pPr>
      <w:ind w:hanging="0" w:start="2126" w:end="0"/>
    </w:pPr>
    <w:rPr/>
  </w:style>
  <w:style w:type="paragraph" w:styleId="Body5">
    <w:name w:val="Body 5"/>
    <w:basedOn w:val="Body4"/>
    <w:qFormat/>
    <w:pPr>
      <w:ind w:hanging="0" w:start="2835" w:end="0"/>
    </w:pPr>
    <w:rPr/>
  </w:style>
  <w:style w:type="paragraph" w:styleId="FootnoteText">
    <w:name w:val="footnote text"/>
    <w:basedOn w:val="Normal"/>
    <w:pPr>
      <w:jc w:val="start"/>
    </w:pPr>
    <w:rPr>
      <w:sz w:val="20"/>
    </w:rPr>
  </w:style>
  <w:style w:type="paragraph" w:styleId="Level1">
    <w:name w:val="Level 1"/>
    <w:basedOn w:val="Body1"/>
    <w:next w:val="Body2"/>
    <w:qFormat/>
    <w:pPr>
      <w:numPr>
        <w:ilvl w:val="0"/>
        <w:numId w:val="12"/>
      </w:numPr>
      <w:outlineLvl w:val="0"/>
    </w:pPr>
    <w:rPr/>
  </w:style>
  <w:style w:type="paragraph" w:styleId="Level2">
    <w:name w:val="Level 2"/>
    <w:basedOn w:val="Body2"/>
    <w:next w:val="Body2"/>
    <w:qFormat/>
    <w:pPr>
      <w:numPr>
        <w:ilvl w:val="0"/>
        <w:numId w:val="12"/>
      </w:numPr>
      <w:outlineLvl w:val="1"/>
    </w:pPr>
    <w:rPr/>
  </w:style>
  <w:style w:type="paragraph" w:styleId="Level3">
    <w:name w:val="Level 3"/>
    <w:basedOn w:val="Body3"/>
    <w:next w:val="Body3"/>
    <w:qFormat/>
    <w:pPr>
      <w:ind w:hanging="37" w:start="37" w:end="0"/>
      <w:outlineLvl w:val="2"/>
    </w:pPr>
    <w:rPr/>
  </w:style>
  <w:style w:type="paragraph" w:styleId="Level4">
    <w:name w:val="Level 4"/>
    <w:basedOn w:val="Body4"/>
    <w:next w:val="Body4"/>
    <w:qFormat/>
    <w:pPr>
      <w:numPr>
        <w:ilvl w:val="0"/>
        <w:numId w:val="12"/>
      </w:numPr>
      <w:outlineLvl w:val="3"/>
    </w:pPr>
    <w:rPr/>
  </w:style>
  <w:style w:type="paragraph" w:styleId="Level5">
    <w:name w:val="Level 5"/>
    <w:basedOn w:val="Body5"/>
    <w:next w:val="Body5"/>
    <w:qFormat/>
    <w:pPr>
      <w:numPr>
        <w:ilvl w:val="0"/>
        <w:numId w:val="12"/>
      </w:numPr>
      <w:outlineLvl w:val="4"/>
    </w:pPr>
    <w:rPr/>
  </w:style>
  <w:style w:type="paragraph" w:styleId="Level6">
    <w:name w:val="Level 6"/>
    <w:basedOn w:val="Normal"/>
    <w:qFormat/>
    <w:pPr>
      <w:numPr>
        <w:ilvl w:val="0"/>
        <w:numId w:val="12"/>
      </w:numPr>
      <w:tabs>
        <w:tab w:val="clear" w:pos="709"/>
        <w:tab w:val="left" w:pos="4320" w:leader="none"/>
      </w:tabs>
      <w:spacing w:before="0" w:after="240"/>
      <w:outlineLvl w:val="5"/>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10" w:start="283"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Return">
    <w:name w:val="envelope return"/>
    <w:basedOn w:val="Normal"/>
    <w:pPr/>
    <w:rPr>
      <w:sz w:val="20"/>
    </w:rPr>
  </w:style>
  <w:style w:type="paragraph" w:styleId="Index1">
    <w:name w:val="index 1"/>
    <w:basedOn w:val="Normal"/>
    <w:next w:val="Normal"/>
    <w:pPr>
      <w:ind w:hanging="210" w:start="210" w:end="0"/>
    </w:pPr>
    <w:rPr/>
  </w:style>
  <w:style w:type="paragraph" w:styleId="Index2">
    <w:name w:val="index 2"/>
    <w:basedOn w:val="Normal"/>
    <w:next w:val="Normal"/>
    <w:pPr>
      <w:ind w:hanging="210" w:start="420" w:end="0"/>
    </w:pPr>
    <w:rPr/>
  </w:style>
  <w:style w:type="paragraph" w:styleId="Index3">
    <w:name w:val="index 3"/>
    <w:basedOn w:val="Normal"/>
    <w:next w:val="Normal"/>
    <w:pPr>
      <w:ind w:hanging="210" w:start="630" w:end="0"/>
    </w:pPr>
    <w:rPr/>
  </w:style>
  <w:style w:type="paragraph" w:styleId="Index4">
    <w:name w:val="Index 4"/>
    <w:basedOn w:val="Normal"/>
    <w:next w:val="Normal"/>
    <w:qFormat/>
    <w:pPr>
      <w:ind w:hanging="210" w:start="840" w:end="0"/>
    </w:pPr>
    <w:rPr/>
  </w:style>
  <w:style w:type="paragraph" w:styleId="Index5">
    <w:name w:val="Index 5"/>
    <w:basedOn w:val="Normal"/>
    <w:next w:val="Normal"/>
    <w:qFormat/>
    <w:pPr>
      <w:ind w:hanging="210" w:start="1050" w:end="0"/>
    </w:pPr>
    <w:rPr/>
  </w:style>
  <w:style w:type="paragraph" w:styleId="Index6">
    <w:name w:val="Index 6"/>
    <w:basedOn w:val="Normal"/>
    <w:next w:val="Normal"/>
    <w:qFormat/>
    <w:pPr>
      <w:ind w:hanging="210" w:start="1260" w:end="0"/>
    </w:pPr>
    <w:rPr/>
  </w:style>
  <w:style w:type="paragraph" w:styleId="Index7">
    <w:name w:val="Index 7"/>
    <w:basedOn w:val="Normal"/>
    <w:next w:val="Normal"/>
    <w:qFormat/>
    <w:pPr>
      <w:ind w:hanging="210" w:start="1470" w:end="0"/>
    </w:pPr>
    <w:rPr/>
  </w:style>
  <w:style w:type="paragraph" w:styleId="Index8">
    <w:name w:val="Index 8"/>
    <w:basedOn w:val="Normal"/>
    <w:next w:val="Normal"/>
    <w:qFormat/>
    <w:pPr>
      <w:ind w:hanging="210" w:start="1680" w:end="0"/>
    </w:pPr>
    <w:rPr/>
  </w:style>
  <w:style w:type="paragraph" w:styleId="Index9">
    <w:name w:val="Index 9"/>
    <w:basedOn w:val="Normal"/>
    <w:next w:val="Normal"/>
    <w:qFormat/>
    <w:pPr>
      <w:ind w:hanging="210" w:start="1890" w:end="0"/>
    </w:pPr>
    <w:rPr/>
  </w:style>
  <w:style w:type="paragraph" w:styleId="IndexHeading">
    <w:name w:val="index heading"/>
    <w:basedOn w:val="Normal"/>
    <w:next w:val="Index1"/>
    <w:pPr/>
    <w:rPr>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sz w:val="24"/>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10" w:start="210" w:end="0"/>
    </w:pPr>
    <w:rPr/>
  </w:style>
  <w:style w:type="paragraph" w:styleId="TableofFigures">
    <w:name w:val="Table of Figures"/>
    <w:basedOn w:val="Normal"/>
    <w:next w:val="Normal"/>
    <w:qFormat/>
    <w:pPr>
      <w:ind w:hanging="420" w:start="420" w:end="0"/>
    </w:pPr>
    <w:rPr/>
  </w:style>
  <w:style w:type="paragraph" w:styleId="TOAHeading">
    <w:name w:val="TOA Heading"/>
    <w:basedOn w:val="Normal"/>
    <w:next w:val="Normal"/>
    <w:qFormat/>
    <w:pPr>
      <w:spacing w:before="120" w:after="0"/>
    </w:pPr>
    <w:rPr>
      <w:b/>
      <w:sz w:val="24"/>
    </w:rPr>
  </w:style>
  <w:style w:type="paragraph" w:styleId="ListArabic4">
    <w:name w:val="List Arabic 4"/>
    <w:basedOn w:val="Normal"/>
    <w:next w:val="Normal"/>
    <w:qFormat/>
    <w:pPr>
      <w:numPr>
        <w:ilvl w:val="0"/>
        <w:numId w:val="16"/>
      </w:numPr>
      <w:tabs>
        <w:tab w:val="clear" w:pos="709"/>
        <w:tab w:val="left" w:pos="86" w:leader="none"/>
      </w:tabs>
      <w:spacing w:lineRule="auto" w:line="288" w:before="0" w:after="200"/>
    </w:pPr>
    <w:rPr>
      <w:rFonts w:ascii="CG Times" w:hAnsi="CG Times" w:cs="CG Times"/>
      <w:sz w:val="22"/>
    </w:rPr>
  </w:style>
  <w:style w:type="paragraph" w:styleId="ListLegal1">
    <w:name w:val="List Legal 1"/>
    <w:basedOn w:val="Normal"/>
    <w:next w:val="BodyText"/>
    <w:qFormat/>
    <w:pPr>
      <w:numPr>
        <w:ilvl w:val="0"/>
        <w:numId w:val="16"/>
      </w:numPr>
      <w:tabs>
        <w:tab w:val="clear" w:pos="709"/>
        <w:tab w:val="left" w:pos="22" w:leader="none"/>
      </w:tabs>
      <w:spacing w:lineRule="auto" w:line="288" w:before="0" w:after="200"/>
    </w:pPr>
    <w:rPr>
      <w:rFonts w:ascii="CG Times" w:hAnsi="CG Times" w:cs="CG Times"/>
      <w:sz w:val="22"/>
    </w:rPr>
  </w:style>
  <w:style w:type="paragraph" w:styleId="ListLegal2">
    <w:name w:val="List Legal 2"/>
    <w:basedOn w:val="Normal"/>
    <w:next w:val="BodyText"/>
    <w:qFormat/>
    <w:pPr>
      <w:numPr>
        <w:ilvl w:val="0"/>
        <w:numId w:val="16"/>
      </w:numPr>
      <w:tabs>
        <w:tab w:val="clear" w:pos="709"/>
        <w:tab w:val="left" w:pos="22" w:leader="none"/>
      </w:tabs>
      <w:spacing w:lineRule="auto" w:line="288" w:before="0" w:after="200"/>
    </w:pPr>
    <w:rPr>
      <w:rFonts w:ascii="CG Times" w:hAnsi="CG Times" w:cs="CG Times"/>
      <w:sz w:val="22"/>
    </w:rPr>
  </w:style>
  <w:style w:type="paragraph" w:styleId="ListLegal3">
    <w:name w:val="List Legal 3"/>
    <w:basedOn w:val="Normal"/>
    <w:next w:val="BodyText2"/>
    <w:qFormat/>
    <w:pPr>
      <w:numPr>
        <w:ilvl w:val="0"/>
        <w:numId w:val="16"/>
      </w:numPr>
      <w:tabs>
        <w:tab w:val="clear" w:pos="709"/>
        <w:tab w:val="left" w:pos="50" w:leader="none"/>
      </w:tabs>
      <w:spacing w:lineRule="auto" w:line="288" w:before="0" w:after="200"/>
    </w:pPr>
    <w:rPr>
      <w:rFonts w:ascii="CG Times" w:hAnsi="CG Times" w:cs="CG Times"/>
      <w:sz w:val="22"/>
    </w:rPr>
  </w:style>
  <w:style w:type="paragraph" w:styleId="ListAlpha1">
    <w:name w:val="List Alpha 1"/>
    <w:basedOn w:val="Normal"/>
    <w:next w:val="BodyText"/>
    <w:qFormat/>
    <w:pPr>
      <w:numPr>
        <w:ilvl w:val="0"/>
        <w:numId w:val="14"/>
      </w:numPr>
      <w:tabs>
        <w:tab w:val="clear" w:pos="709"/>
        <w:tab w:val="left" w:pos="22" w:leader="none"/>
      </w:tabs>
      <w:spacing w:lineRule="auto" w:line="288" w:before="0" w:after="200"/>
    </w:pPr>
    <w:rPr>
      <w:rFonts w:ascii="CG Times" w:hAnsi="CG Times" w:cs="CG Times"/>
      <w:sz w:val="22"/>
    </w:rPr>
  </w:style>
  <w:style w:type="paragraph" w:styleId="ListAlpha2">
    <w:name w:val="List Alpha 2"/>
    <w:basedOn w:val="Normal"/>
    <w:next w:val="BodyText2"/>
    <w:qFormat/>
    <w:pPr>
      <w:numPr>
        <w:ilvl w:val="0"/>
        <w:numId w:val="14"/>
      </w:numPr>
      <w:tabs>
        <w:tab w:val="clear" w:pos="709"/>
        <w:tab w:val="left" w:pos="50" w:leader="none"/>
      </w:tabs>
      <w:spacing w:lineRule="auto" w:line="288" w:before="0" w:after="200"/>
    </w:pPr>
    <w:rPr>
      <w:rFonts w:ascii="CG Times" w:hAnsi="CG Times" w:cs="CG Times"/>
      <w:sz w:val="22"/>
    </w:rPr>
  </w:style>
  <w:style w:type="paragraph" w:styleId="ListAlpha3">
    <w:name w:val="List Alpha 3"/>
    <w:basedOn w:val="Normal"/>
    <w:next w:val="BodyText3"/>
    <w:qFormat/>
    <w:pPr>
      <w:numPr>
        <w:ilvl w:val="0"/>
        <w:numId w:val="14"/>
      </w:numPr>
      <w:tabs>
        <w:tab w:val="clear" w:pos="709"/>
        <w:tab w:val="left" w:pos="68" w:leader="none"/>
      </w:tabs>
      <w:spacing w:lineRule="auto" w:line="288" w:before="0" w:after="200"/>
    </w:pPr>
    <w:rPr>
      <w:rFonts w:ascii="CG Times" w:hAnsi="CG Times" w:cs="CG Times"/>
      <w:sz w:val="22"/>
    </w:rPr>
  </w:style>
  <w:style w:type="paragraph" w:styleId="ListALPHACAPS1">
    <w:name w:val="List ALPHA CAPS 1"/>
    <w:basedOn w:val="Normal"/>
    <w:next w:val="BodyText"/>
    <w:qFormat/>
    <w:pPr>
      <w:numPr>
        <w:ilvl w:val="0"/>
        <w:numId w:val="13"/>
      </w:numPr>
      <w:tabs>
        <w:tab w:val="clear" w:pos="709"/>
        <w:tab w:val="left" w:pos="22" w:leader="none"/>
      </w:tabs>
      <w:spacing w:lineRule="auto" w:line="288" w:before="0" w:after="200"/>
    </w:pPr>
    <w:rPr>
      <w:rFonts w:ascii="CG Times" w:hAnsi="CG Times" w:cs="CG Times"/>
      <w:sz w:val="22"/>
    </w:rPr>
  </w:style>
  <w:style w:type="paragraph" w:styleId="LISTALPHACAPS2">
    <w:name w:val="LIST ALPHA CAPS 2"/>
    <w:basedOn w:val="Normal"/>
    <w:next w:val="BodyText2"/>
    <w:qFormat/>
    <w:pPr>
      <w:numPr>
        <w:ilvl w:val="0"/>
        <w:numId w:val="13"/>
      </w:numPr>
      <w:tabs>
        <w:tab w:val="clear" w:pos="709"/>
        <w:tab w:val="left" w:pos="50" w:leader="none"/>
      </w:tabs>
      <w:spacing w:lineRule="auto" w:line="288" w:before="0" w:after="200"/>
    </w:pPr>
    <w:rPr>
      <w:rFonts w:ascii="CG Times" w:hAnsi="CG Times" w:cs="CG Times"/>
      <w:sz w:val="22"/>
    </w:rPr>
  </w:style>
  <w:style w:type="paragraph" w:styleId="LISTALPHACAPS3">
    <w:name w:val="LIST ALPHA CAPS 3"/>
    <w:basedOn w:val="Normal"/>
    <w:next w:val="BodyText3"/>
    <w:qFormat/>
    <w:pPr>
      <w:numPr>
        <w:ilvl w:val="0"/>
        <w:numId w:val="13"/>
      </w:numPr>
      <w:tabs>
        <w:tab w:val="clear" w:pos="709"/>
        <w:tab w:val="left" w:pos="68" w:leader="none"/>
      </w:tabs>
      <w:spacing w:lineRule="auto" w:line="288" w:before="0" w:after="200"/>
    </w:pPr>
    <w:rPr>
      <w:rFonts w:ascii="CG Times" w:hAnsi="CG Times" w:cs="CG Time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www.enrononline.com/"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2001-11-06T15:52:00Z</dcterms:created>
  <dc:creator>Nicola Pearce</dc:creator>
  <dc:description/>
  <dc:language>en-CA</dc:language>
  <cp:lastModifiedBy>NEdmonds</cp:lastModifiedBy>
  <cp:lastPrinted>2001-11-06T18:53:00Z</cp:lastPrinted>
  <dcterms:modified xsi:type="dcterms:W3CDTF">2001-11-06T16:23:00Z</dcterms:modified>
  <cp:revision>3</cp:revision>
  <dc:subject/>
  <dc:title>DATED                                                                                                2001</dc:title>
</cp:coreProperties>
</file>