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
        <w:spacing w:before="240" w:after="0"/>
        <w:rPr>
          <w:b/>
        </w:rPr>
      </w:pPr>
      <w:r>
        <w:rPr>
          <w:b/>
        </w:rPr>
        <w:t>AGREEMENT GOVERNING</w:t>
        <w:br/>
        <w:t>GENERAL TERMS &amp; CONDITIONS</w:t>
        <w:br/>
        <w:t>OF FINANCIAL DERIVATIVE TRANSACTIONS</w:t>
      </w:r>
    </w:p>
    <w:p>
      <w:pPr>
        <w:pStyle w:val="Normal"/>
        <w:rPr/>
      </w:pPr>
      <w:r>
        <w:rPr/>
        <w:t>This AGREEMENT GOVERNING GENERAL TERMS &amp; CONDITIONS OF FINANCIAL DERIVATIVE TRANSACTIONS (this "Agreement") is made and entered into as of May 1, 2000, by and between Enron North America Corp. ("ENA"), a Delaware corporation, and Puget Sound Energy, Inc. ("PSE"), a Washington corporation.  Each of ENA and PSE is sometimes referred to in this Agreement as "Party"; both of ENA and PSE are sometimes referred to together in this Agreement as "Parties."</w:t>
      </w:r>
    </w:p>
    <w:p>
      <w:pPr>
        <w:pStyle w:val="title"/>
        <w:rPr/>
      </w:pPr>
      <w:r>
        <w:rPr/>
        <w:t>Recitals</w:t>
      </w:r>
    </w:p>
    <w:p>
      <w:pPr>
        <w:pStyle w:val="Normal"/>
        <w:rPr/>
      </w:pPr>
      <w:r>
        <w:rPr/>
        <w:t>A.</w:t>
        <w:tab/>
        <w:t>In February 2000, ENA and PSE negotiated the terms and conditions ("Negotiated Terms") that would apply to all swap transactions between the Parties until such time as the Parties entered into an ISDA Master Agreement.  The Negotiated Terms are contained in Annex A attached to the Revised Confirmation (SWAP) dated February 2, 2000.</w:t>
      </w:r>
    </w:p>
    <w:p>
      <w:pPr>
        <w:pStyle w:val="Normal"/>
        <w:rPr/>
      </w:pPr>
      <w:r>
        <w:rPr/>
        <w:t>B.</w:t>
        <w:tab/>
        <w:t>Additional terms and conditions for Annex A (“Revised Terms”) were presented to PSE in a letter dated April 4, 2000 from ENA entitled “RE: Revised Form of Annex A for Financial Derivative Transactions with Enron North America Corp.”.</w:t>
      </w:r>
    </w:p>
    <w:p>
      <w:pPr>
        <w:pStyle w:val="Normal"/>
        <w:rPr/>
      </w:pPr>
      <w:r>
        <w:rPr/>
        <w:t>C.</w:t>
        <w:tab/>
        <w:t>In May 2000, ENA and PSE agreed to merge the Revised Terms and the Negotiated Terms, creating a new Annex A, (the “Merged Terms”).  The merged Annex A is attached to this Agreement as Exhibit A.</w:t>
      </w:r>
    </w:p>
    <w:p>
      <w:pPr>
        <w:pStyle w:val="Normal"/>
        <w:rPr/>
      </w:pPr>
      <w:r>
        <w:rPr/>
        <w:t>D.</w:t>
        <w:tab/>
        <w:t>The Parties intend the Merged Terms in Exhibit A to apply to all Swap confirmations furnished by either Party to the other on and after February 2, 2000, until such time as the Parties enter into an ISDA Master Agreement.</w:t>
      </w:r>
    </w:p>
    <w:p>
      <w:pPr>
        <w:pStyle w:val="title"/>
        <w:rPr/>
      </w:pPr>
      <w:r>
        <w:rPr/>
        <w:t>Agreement</w:t>
      </w:r>
    </w:p>
    <w:p>
      <w:pPr>
        <w:pStyle w:val="Normal"/>
        <w:rPr/>
      </w:pPr>
      <w:r>
        <w:rPr/>
        <w:t>The Parties, therefore, mutually agree as follows:</w:t>
      </w:r>
    </w:p>
    <w:p>
      <w:pPr>
        <w:pStyle w:val="Heading1"/>
        <w:rPr/>
      </w:pPr>
      <w:r>
        <w:rPr/>
        <w:t>Section 1.</w:t>
        <w:tab/>
        <w:t>Terms and Conditions Governing Swap Confirmations</w:t>
      </w:r>
    </w:p>
    <w:p>
      <w:pPr>
        <w:pStyle w:val="Normal"/>
        <w:rPr/>
      </w:pPr>
      <w:r>
        <w:rPr/>
        <w:t>The terms and conditions contained in Exhibit A to this Agreement shall govern all transactions identified in confirmations of swap transactions furnished by either Party to the other on and after February 2, 2000 until such time as the Parties (i) enter into an ISDA Master Agreement, or (2) terminate this Agreement as provided for in Section 2.2.  In the event that any of the swap confirmations entered into by the Parties on or after February 2, 2000 contain terms and conditions that differ from or conflict with the Merged Terms in Exhibit A, Exhibit A shall supersede and replace any such terms and conditions to the extent of the difference or conflict.</w:t>
      </w:r>
    </w:p>
    <w:p>
      <w:pPr>
        <w:pStyle w:val="Heading1"/>
        <w:rPr/>
      </w:pPr>
      <w:r>
        <w:rPr/>
        <w:t>Section 2.</w:t>
        <w:tab/>
        <w:t>Term and Termination</w:t>
      </w:r>
    </w:p>
    <w:p>
      <w:pPr>
        <w:pStyle w:val="Normal"/>
        <w:rPr/>
      </w:pPr>
      <w:r>
        <w:rPr/>
        <w:t>2.1</w:t>
        <w:tab/>
        <w:t>This Agreement shall be deemed to be effective as of February 2, 2000.</w:t>
      </w:r>
    </w:p>
    <w:p>
      <w:pPr>
        <w:pStyle w:val="Normal"/>
        <w:rPr/>
      </w:pPr>
      <w:r>
        <w:rPr/>
        <w:t>2.2</w:t>
        <w:tab/>
        <w:t>This Agreement shall terminate (i) upon execution by the Parties of an ISDA Master Agreement, or (ii) by agreement of the Parties set forth in writing and signed by both Parties.</w:t>
      </w:r>
    </w:p>
    <w:p>
      <w:pPr>
        <w:pStyle w:val="Heading1"/>
        <w:rPr/>
      </w:pPr>
      <w:r>
        <w:rPr/>
        <w:t>Section 3.</w:t>
        <w:tab/>
        <w:t>Miscellaneous</w:t>
      </w:r>
    </w:p>
    <w:p>
      <w:pPr>
        <w:pStyle w:val="Normal"/>
        <w:rPr/>
      </w:pPr>
      <w:r>
        <w:rPr/>
        <w:t>3.1</w:t>
        <w:tab/>
        <w:t>This Agreement and all of the terms and provisions of this Agreement shall be binding upon and inure to the benefit of the respective successors and assigns of the Parties, provided that neither Party shall assign this Agreement without the prior written consent of the other Party.</w:t>
      </w:r>
    </w:p>
    <w:p>
      <w:pPr>
        <w:pStyle w:val="Normal"/>
        <w:rPr/>
      </w:pPr>
      <w:r>
        <w:rPr/>
        <w:t>3.2</w:t>
        <w:tab/>
        <w:t>Any notice, request, authorization, direction or other communication under this Agreement shall be deemed to have been given upon receipt, when mailed, couriered, sent by facsimile, or otherwise delivered to the following address:</w:t>
      </w:r>
    </w:p>
    <w:p>
      <w:pPr>
        <w:pStyle w:val="Normal"/>
        <w:rPr/>
      </w:pPr>
      <w:r>
        <w:rPr/>
      </w:r>
    </w:p>
    <w:tbl>
      <w:tblPr>
        <w:tblW w:w="8316" w:type="dxa"/>
        <w:jc w:val="start"/>
        <w:tblInd w:w="0" w:type="dxa"/>
        <w:tblLayout w:type="fixed"/>
        <w:tblCellMar>
          <w:top w:w="0" w:type="dxa"/>
          <w:start w:w="108" w:type="dxa"/>
          <w:bottom w:w="0" w:type="dxa"/>
          <w:end w:w="108" w:type="dxa"/>
        </w:tblCellMar>
      </w:tblPr>
      <w:tblGrid>
        <w:gridCol w:w="3708"/>
        <w:gridCol w:w="4608"/>
      </w:tblGrid>
      <w:tr>
        <w:trPr/>
        <w:tc>
          <w:tcPr>
            <w:tcW w:w="3708" w:type="dxa"/>
            <w:tcBorders/>
          </w:tcPr>
          <w:p>
            <w:pPr>
              <w:pStyle w:val="Normal"/>
              <w:spacing w:before="240" w:after="0"/>
              <w:ind w:hanging="0" w:start="1440" w:end="0"/>
              <w:rPr/>
            </w:pPr>
            <w:r>
              <w:rPr>
                <w:u w:val="single"/>
              </w:rPr>
              <w:t>If to PSE</w:t>
            </w:r>
            <w:r>
              <w:rPr/>
              <w:t>:</w:t>
            </w:r>
          </w:p>
        </w:tc>
        <w:tc>
          <w:tcPr>
            <w:tcW w:w="4608" w:type="dxa"/>
            <w:tcBorders/>
          </w:tcPr>
          <w:p>
            <w:pPr>
              <w:pStyle w:val="Normal"/>
              <w:spacing w:before="240" w:after="0"/>
              <w:ind w:hanging="0" w:end="0"/>
              <w:rPr/>
            </w:pPr>
            <w:r>
              <w:rPr/>
              <w:t>Puget Sound Energy, Inc.</w:t>
              <w:br/>
              <w:t>P.O. Box 97034, OBC-14E</w:t>
              <w:br/>
              <w:t>Bellevue, Washington  98009</w:t>
              <w:br/>
            </w:r>
            <w:r>
              <w:rPr>
                <w:u w:val="single"/>
              </w:rPr>
              <w:t>Attn</w:t>
            </w:r>
            <w:r>
              <w:rPr/>
              <w:t>:</w:t>
              <w:tab/>
              <w:t>Director, Energy Risk Management</w:t>
            </w:r>
          </w:p>
          <w:p>
            <w:pPr>
              <w:pStyle w:val="Normal"/>
              <w:ind w:hanging="0" w:end="0"/>
              <w:rPr>
                <w:u w:val="single"/>
              </w:rPr>
            </w:pPr>
            <w:r>
              <w:rPr>
                <w:u w:val="single"/>
              </w:rPr>
              <w:t>For Courier Deliveries:</w:t>
              <w:br/>
            </w:r>
            <w:r>
              <w:rPr/>
              <w:t>411 108</w:t>
            </w:r>
            <w:r>
              <w:rPr>
                <w:vertAlign w:val="superscript"/>
              </w:rPr>
              <w:t>th</w:t>
            </w:r>
            <w:r>
              <w:rPr/>
              <w:t xml:space="preserve"> Ave N.E.</w:t>
              <w:br/>
              <w:t>Bellevue, Washington  98004-5515</w:t>
              <w:br/>
            </w:r>
            <w:r>
              <w:rPr>
                <w:u w:val="single"/>
              </w:rPr>
              <w:t>Attn</w:t>
            </w:r>
            <w:r>
              <w:rPr/>
              <w:t>:</w:t>
              <w:tab/>
              <w:t>Director, Energy Risk Management</w:t>
            </w:r>
          </w:p>
        </w:tc>
      </w:tr>
      <w:tr>
        <w:trPr/>
        <w:tc>
          <w:tcPr>
            <w:tcW w:w="3708" w:type="dxa"/>
            <w:tcBorders/>
          </w:tcPr>
          <w:p>
            <w:pPr>
              <w:pStyle w:val="Normal"/>
              <w:spacing w:before="240" w:after="0"/>
              <w:ind w:hanging="0" w:start="1440" w:end="0"/>
              <w:rPr/>
            </w:pPr>
            <w:r>
              <w:rPr>
                <w:u w:val="single"/>
              </w:rPr>
              <w:t>If ENA</w:t>
            </w:r>
            <w:r>
              <w:rPr/>
              <w:t>:</w:t>
            </w:r>
          </w:p>
        </w:tc>
        <w:tc>
          <w:tcPr>
            <w:tcW w:w="4608" w:type="dxa"/>
            <w:tcBorders/>
          </w:tcPr>
          <w:p>
            <w:pPr>
              <w:pStyle w:val="Normal"/>
              <w:spacing w:before="240" w:after="0"/>
              <w:ind w:hanging="0" w:end="0"/>
              <w:rPr/>
            </w:pPr>
            <w:r>
              <w:rPr/>
              <w:t>Enron North America Corporation</w:t>
              <w:br/>
              <w:t>P.O. Box 4428</w:t>
              <w:br/>
              <w:t>Houston, TX  77210-4428</w:t>
              <w:br/>
            </w:r>
            <w:r>
              <w:rPr>
                <w:u w:val="single"/>
              </w:rPr>
              <w:t>Attn</w:t>
            </w:r>
            <w:r>
              <w:rPr/>
              <w:t>:</w:t>
              <w:tab/>
              <w:t>Director, Document Department</w:t>
              <w:br/>
              <w:br/>
            </w:r>
            <w:r>
              <w:rPr>
                <w:u w:val="single"/>
              </w:rPr>
              <w:t>For Courier Deliveries:</w:t>
            </w:r>
            <w:r>
              <w:rPr/>
              <w:br/>
              <w:t>1400 Smith Street</w:t>
              <w:br/>
              <w:t>Houston, TX  77002</w:t>
              <w:br/>
            </w:r>
            <w:r>
              <w:rPr>
                <w:u w:val="single"/>
              </w:rPr>
              <w:t>Attn</w:t>
            </w:r>
            <w:r>
              <w:rPr/>
              <w:t>:</w:t>
              <w:tab/>
              <w:t>Director, Document Department</w:t>
            </w:r>
          </w:p>
        </w:tc>
      </w:tr>
    </w:tbl>
    <w:p>
      <w:pPr>
        <w:pStyle w:val="normalblock"/>
        <w:rPr/>
      </w:pPr>
      <w:r>
        <w:rPr/>
        <w:t>or to such other address as the applicable Party may designate by notice duly given in accordance with this Section.</w:t>
      </w:r>
    </w:p>
    <w:p>
      <w:pPr>
        <w:pStyle w:val="Normal"/>
        <w:rPr/>
      </w:pPr>
      <w:r>
        <w:rPr/>
        <w:t>3.3</w:t>
        <w:tab/>
        <w:t>This Agreement shall in all respects be interpreted, construed and enforced in accordance with the laws of the State of Washington (without regard to any conflict of laws rules).</w:t>
      </w:r>
    </w:p>
    <w:p>
      <w:pPr>
        <w:pStyle w:val="Normal"/>
        <w:rPr/>
      </w:pPr>
      <w:r>
        <w:rPr/>
        <w:t>3.4</w:t>
        <w:tab/>
        <w:t>No change, amendment or modification of any of the provisions of this Agreement shall be valid unless hereafter set forth in a writing agreed upon by the Parties.</w:t>
      </w:r>
    </w:p>
    <w:p>
      <w:pPr>
        <w:pStyle w:val="Normal"/>
        <w:rPr/>
      </w:pPr>
      <w:r>
        <w:rPr/>
        <w:t>3.5</w:t>
        <w:tab/>
        <w:t>No failure or delay of either Party to insist upon or enforce strict performance by the other Party of any provision of this Agreement or to exercise any other right under this Agreement, and no course of dealing or performance with respect thereto, shall be construed as a waiver or relinquishment to any extent of such Party's right to assert or rely upon any such provision or right in that or any other instance; rather, the same shall be and remain in full force and effect.</w:t>
      </w:r>
    </w:p>
    <w:p>
      <w:pPr>
        <w:pStyle w:val="Normal"/>
        <w:rPr/>
      </w:pPr>
      <w:r>
        <w:rPr/>
        <w:t>3.6</w:t>
        <w:tab/>
        <w:t>This Agreement may be executed in any number of counterparts, and each such counterpart shall be deemed to be an original instrument, but all such counterparts together will constitute one agreement.</w:t>
      </w:r>
    </w:p>
    <w:p>
      <w:pPr>
        <w:pStyle w:val="Normal"/>
        <w:rPr/>
      </w:pPr>
      <w:r>
        <w:rPr/>
        <w:t>3.7</w:t>
        <w:tab/>
        <w:t>Notwithstanding termination of this Agreement pursuant to Clause (ii) of Section 2.2, this Agreement will govern any swap confirmation that is entered into by the Parties prior to such termination of this Agreement.</w:t>
      </w:r>
    </w:p>
    <w:p>
      <w:pPr>
        <w:pStyle w:val="Normal"/>
        <w:rPr/>
      </w:pPr>
      <w:r>
        <w:rPr/>
        <w:t>3.8</w:t>
        <w:tab/>
        <w:t>This Agreement constitutes the entire agreement of the Parties with respect to the subject matter hereof and all other agreements and understandings of the Parties, whether written or oral, with respect to the subject matter of this Agreement are hereby superseded in their entireties.</w:t>
      </w:r>
    </w:p>
    <w:p>
      <w:pPr>
        <w:pStyle w:val="Normal"/>
        <w:rPr/>
      </w:pPr>
      <w:r>
        <w:rPr/>
        <w:t>IN WITNESS WHEREOF, this Master Agreement Governing Swap Transactions has been duly executed as of the date first set forth above.</w:t>
      </w:r>
    </w:p>
    <w:p>
      <w:pPr>
        <w:pStyle w:val="Normal"/>
        <w:rPr/>
      </w:pPr>
      <w:r>
        <w:rPr/>
      </w:r>
    </w:p>
    <w:tbl>
      <w:tblPr>
        <w:tblW w:w="9288" w:type="dxa"/>
        <w:jc w:val="start"/>
        <w:tblInd w:w="0" w:type="dxa"/>
        <w:tblLayout w:type="fixed"/>
        <w:tblCellMar>
          <w:top w:w="0" w:type="dxa"/>
          <w:start w:w="108" w:type="dxa"/>
          <w:bottom w:w="0" w:type="dxa"/>
          <w:end w:w="108" w:type="dxa"/>
        </w:tblCellMar>
      </w:tblPr>
      <w:tblGrid>
        <w:gridCol w:w="4518"/>
        <w:gridCol w:w="4770"/>
      </w:tblGrid>
      <w:tr>
        <w:trPr/>
        <w:tc>
          <w:tcPr>
            <w:tcW w:w="4518" w:type="dxa"/>
            <w:tcBorders/>
          </w:tcPr>
          <w:p>
            <w:pPr>
              <w:pStyle w:val="Normal"/>
              <w:tabs>
                <w:tab w:val="clear" w:pos="720"/>
                <w:tab w:val="left" w:pos="3960" w:leader="none"/>
              </w:tabs>
              <w:spacing w:before="0" w:after="0"/>
              <w:ind w:hanging="0" w:end="0"/>
              <w:rPr/>
            </w:pPr>
            <w:r>
              <w:rPr/>
              <w:t>ENRON NORTH AMERICA CORP.</w:t>
              <w:br/>
              <w:br/>
              <w:t>By:</w:t>
            </w:r>
            <w:r>
              <w:rPr>
                <w:u w:val="single"/>
              </w:rPr>
              <w:tab/>
            </w:r>
            <w:r>
              <w:rPr/>
              <w:br/>
              <w:br/>
              <w:t>Title:</w:t>
            </w:r>
            <w:r>
              <w:rPr>
                <w:u w:val="single"/>
              </w:rPr>
              <w:tab/>
            </w:r>
            <w:r>
              <w:rPr/>
              <w:br/>
            </w:r>
          </w:p>
        </w:tc>
        <w:tc>
          <w:tcPr>
            <w:tcW w:w="4770" w:type="dxa"/>
            <w:tcBorders/>
          </w:tcPr>
          <w:p>
            <w:pPr>
              <w:pStyle w:val="Normal"/>
              <w:tabs>
                <w:tab w:val="clear" w:pos="720"/>
                <w:tab w:val="left" w:pos="4032" w:leader="none"/>
              </w:tabs>
              <w:spacing w:before="0" w:after="0"/>
              <w:ind w:hanging="0" w:end="0"/>
              <w:rPr/>
            </w:pPr>
            <w:r>
              <w:rPr/>
              <w:t>PUGET SOUND ENERGY, INC.</w:t>
              <w:br/>
              <w:br/>
              <w:br/>
              <w:t>By:</w:t>
            </w:r>
            <w:r>
              <w:rPr>
                <w:u w:val="single"/>
              </w:rPr>
              <w:tab/>
              <w:br/>
            </w:r>
            <w:r>
              <w:rPr/>
              <w:br/>
              <w:t>Title:</w:t>
            </w:r>
            <w:r>
              <w:rPr>
                <w:u w:val="single"/>
              </w:rPr>
              <w:tab/>
            </w:r>
            <w:r>
              <w:rPr/>
              <w:br/>
            </w:r>
          </w:p>
        </w:tc>
      </w:tr>
    </w:tbl>
    <w:p>
      <w:pPr>
        <w:pStyle w:val="Normal"/>
        <w:rPr/>
      </w:pPr>
      <w:r>
        <w:rPr/>
      </w:r>
    </w:p>
    <w:sectPr>
      <w:footerReference w:type="default" r:id="rId2"/>
      <w:type w:val="nextPage"/>
      <w:pgSz w:w="12240" w:h="15840"/>
      <w:pgMar w:left="1656" w:right="1584" w:gutter="0" w:header="0" w:top="1170" w:footer="720" w:bottom="117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N)">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9000"/>
        <w:tab w:val="right" w:pos="8820" w:leader="none"/>
      </w:tabs>
      <w:rPr/>
    </w:pPr>
    <w:r>
      <w:rPr/>
      <w:t>MASTER AGREEMENT GOVERNING SWAP TRANSACTIONS</w:t>
      <w:tab/>
      <w:t xml:space="preserve">PAGE </w:t>
    </w:r>
    <w:r>
      <w:rPr/>
      <w:fldChar w:fldCharType="begin"/>
    </w:r>
    <w:r>
      <w:rPr/>
      <w:instrText xml:space="preserve"> PAGE </w:instrText>
    </w:r>
    <w:r>
      <w:rPr/>
      <w:fldChar w:fldCharType="separate"/>
    </w:r>
    <w:r>
      <w:rPr/>
      <w:t>3</w:t>
    </w:r>
    <w:r>
      <w:rPr/>
      <w:fldChar w:fldCharType="end"/>
    </w:r>
    <w:r>
      <w:rPr/>
      <w:br/>
      <w:t>[</w:t>
    </w:r>
    <w:r>
      <w:rPr/>
      <w:fldChar w:fldCharType="begin"/>
    </w:r>
    <w:r>
      <w:rPr/>
      <w:instrText xml:space="preserve"> KEYWORDS </w:instrText>
    </w:r>
    <w:r>
      <w:rPr/>
      <w:fldChar w:fldCharType="separate"/>
    </w:r>
    <w:r>
      <w:rPr/>
      <w:t>07770-0036</w:t>
    </w:r>
    <w:r>
      <w:rPr/>
      <w:fldChar w:fldCharType="end"/>
    </w:r>
    <w:r>
      <w:rPr/>
      <w:t>/</w:t>
    </w:r>
    <w:r>
      <w:rPr/>
      <w:fldChar w:fldCharType="begin"/>
    </w:r>
    <w:r>
      <w:rPr/>
      <w:instrText xml:space="preserve"> FILENAME </w:instrText>
    </w:r>
    <w:r>
      <w:rPr/>
      <w:fldChar w:fldCharType="separate"/>
    </w:r>
    <w:r>
      <w:rPr/>
      <w:t>Master_Agmt_for_Swap_Transactions.DOC</w:t>
    </w:r>
    <w:r>
      <w:rPr/>
      <w:fldChar w:fldCharType="end"/>
    </w:r>
    <w:r>
      <w:rPr/>
      <w:t>]</w:t>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quickclose$" w:val="YES"/>
    <w:docVar w:name="wwdiFILENAME$" w:val="BA003677.462"/>
    <w:docVar w:name="wwdiVERSION$" w:val="6"/>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tLeast" w:line="240" w:before="240" w:after="0"/>
      <w:ind w:firstLine="720" w:start="0" w:end="0"/>
    </w:pPr>
    <w:rPr>
      <w:rFonts w:ascii="Times New Roman" w:hAnsi="Times New Roman" w:eastAsia="Times New Roman" w:cs="Times New Roman"/>
      <w:color w:val="auto"/>
      <w:sz w:val="26"/>
      <w:szCs w:val="20"/>
      <w:lang w:val="en-US" w:eastAsia="zh-CN" w:bidi="hi-IN"/>
    </w:rPr>
  </w:style>
  <w:style w:type="paragraph" w:styleId="Heading1">
    <w:name w:val="heading 1"/>
    <w:basedOn w:val="single"/>
    <w:next w:val="Normal"/>
    <w:qFormat/>
    <w:pPr>
      <w:keepNext w:val="true"/>
      <w:keepLines/>
      <w:numPr>
        <w:ilvl w:val="0"/>
        <w:numId w:val="1"/>
      </w:numPr>
      <w:ind w:hanging="1440" w:start="1440" w:end="0"/>
      <w:outlineLvl w:val="0"/>
    </w:pPr>
    <w:rPr>
      <w:b/>
    </w:rPr>
  </w:style>
  <w:style w:type="paragraph" w:styleId="Heading2">
    <w:name w:val="heading 2"/>
    <w:basedOn w:val="Heading1"/>
    <w:next w:val="Normal"/>
    <w:qFormat/>
    <w:pPr>
      <w:numPr>
        <w:ilvl w:val="1"/>
        <w:numId w:val="1"/>
      </w:numPr>
      <w:ind w:hanging="720" w:start="1440" w:end="0"/>
      <w:outlineLvl w:val="1"/>
    </w:pPr>
    <w:rPr/>
  </w:style>
  <w:style w:type="paragraph" w:styleId="Heading3">
    <w:name w:val="heading 3"/>
    <w:basedOn w:val="Heading1"/>
    <w:next w:val="Normal"/>
    <w:qFormat/>
    <w:pPr>
      <w:numPr>
        <w:ilvl w:val="2"/>
        <w:numId w:val="1"/>
      </w:numPr>
      <w:tabs>
        <w:tab w:val="clear" w:pos="720"/>
        <w:tab w:val="left" w:pos="3150" w:leader="none"/>
      </w:tabs>
      <w:ind w:hanging="1350" w:start="3150" w:end="0"/>
      <w:outlineLvl w:val="2"/>
    </w:pPr>
    <w:rPr/>
  </w:style>
  <w:style w:type="paragraph" w:styleId="Heading4">
    <w:name w:val="heading 4"/>
    <w:basedOn w:val="Heading1"/>
    <w:next w:val="Normal"/>
    <w:qFormat/>
    <w:pPr>
      <w:numPr>
        <w:ilvl w:val="3"/>
        <w:numId w:val="1"/>
      </w:numPr>
      <w:tabs>
        <w:tab w:val="clear" w:pos="720"/>
        <w:tab w:val="left" w:pos="5040" w:leader="none"/>
      </w:tabs>
      <w:ind w:hanging="1890" w:start="5040" w:end="0"/>
      <w:outlineLvl w:val="3"/>
    </w:pPr>
    <w:rPr/>
  </w:style>
  <w:style w:type="paragraph" w:styleId="Heading5">
    <w:name w:val="heading 5"/>
    <w:basedOn w:val="Heading1"/>
    <w:next w:val="Normal"/>
    <w:qFormat/>
    <w:pPr>
      <w:numPr>
        <w:ilvl w:val="4"/>
        <w:numId w:val="1"/>
      </w:numPr>
      <w:tabs>
        <w:tab w:val="clear" w:pos="720"/>
        <w:tab w:val="left" w:pos="5940" w:leader="none"/>
      </w:tabs>
      <w:ind w:hanging="900" w:start="5940" w:end="0"/>
      <w:outlineLvl w:val="4"/>
    </w:pPr>
    <w:rPr/>
  </w:style>
  <w:style w:type="paragraph" w:styleId="Heading6">
    <w:name w:val="heading 6"/>
    <w:basedOn w:val="Heading1"/>
    <w:next w:val="Normal"/>
    <w:qFormat/>
    <w:pPr>
      <w:numPr>
        <w:ilvl w:val="5"/>
        <w:numId w:val="1"/>
      </w:numPr>
      <w:tabs>
        <w:tab w:val="clear" w:pos="720"/>
        <w:tab w:val="left" w:pos="4752" w:leader="none"/>
        <w:tab w:val="left" w:pos="4896" w:leader="none"/>
      </w:tabs>
      <w:ind w:hanging="1440" w:start="4608" w:end="0"/>
      <w:outlineLvl w:val="5"/>
    </w:pPr>
    <w:rPr/>
  </w:style>
  <w:style w:type="paragraph" w:styleId="Heading7">
    <w:name w:val="heading 7"/>
    <w:basedOn w:val="Heading1"/>
    <w:next w:val="Normal"/>
    <w:qFormat/>
    <w:pPr>
      <w:numPr>
        <w:ilvl w:val="6"/>
        <w:numId w:val="1"/>
      </w:numPr>
      <w:tabs>
        <w:tab w:val="clear" w:pos="720"/>
        <w:tab w:val="left" w:pos="5472" w:leader="none"/>
        <w:tab w:val="left" w:pos="5616" w:leader="none"/>
      </w:tabs>
      <w:ind w:hanging="1440" w:start="5328" w:end="0"/>
      <w:outlineLvl w:val="6"/>
    </w:pPr>
    <w:rPr/>
  </w:style>
  <w:style w:type="paragraph" w:styleId="Heading8">
    <w:name w:val="heading 8"/>
    <w:basedOn w:val="Heading1"/>
    <w:next w:val="Normal"/>
    <w:qFormat/>
    <w:pPr>
      <w:numPr>
        <w:ilvl w:val="7"/>
        <w:numId w:val="1"/>
      </w:numPr>
      <w:tabs>
        <w:tab w:val="clear" w:pos="720"/>
        <w:tab w:val="left" w:pos="6192" w:leader="none"/>
        <w:tab w:val="left" w:pos="6336" w:leader="none"/>
      </w:tabs>
      <w:ind w:hanging="1440" w:start="6048" w:end="0"/>
      <w:outlineLvl w:val="7"/>
    </w:pPr>
    <w:rPr/>
  </w:style>
  <w:style w:type="paragraph" w:styleId="Heading9">
    <w:name w:val="heading 9"/>
    <w:basedOn w:val="Heading1"/>
    <w:next w:val="Normal"/>
    <w:qFormat/>
    <w:pPr>
      <w:numPr>
        <w:ilvl w:val="8"/>
        <w:numId w:val="1"/>
      </w:numPr>
      <w:tabs>
        <w:tab w:val="clear" w:pos="720"/>
        <w:tab w:val="left" w:pos="6912" w:leader="none"/>
        <w:tab w:val="left" w:pos="7056" w:leader="none"/>
      </w:tabs>
      <w:ind w:hanging="1440" w:start="6768" w:end="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rFonts w:ascii="Univers (WN)" w:hAnsi="Univers (WN)" w:cs="Univers (WN)"/>
      <w:sz w:val="16"/>
      <w:u w:val="double"/>
      <w:vertAlign w:val="superscript"/>
    </w:rPr>
  </w:style>
  <w:style w:type="character" w:styleId="FootnoteCharacters">
    <w:name w:val="Footnote Characters"/>
    <w:basedOn w:val="DefaultParagraphFont"/>
    <w:qFormat/>
    <w:rPr>
      <w:rFonts w:ascii="Univers (WN)" w:hAnsi="Univers (WN)" w:cs="Univers (WN)"/>
      <w:sz w:val="16"/>
      <w:vertAlign w:val="superscript"/>
    </w:rPr>
  </w:style>
  <w:style w:type="paragraph" w:styleId="Heading">
    <w:name w:val="Heading"/>
    <w:basedOn w:val="center"/>
    <w:next w:val="BodyText"/>
    <w:qFormat/>
    <w:pPr>
      <w:keepNext w:val="true"/>
      <w:ind w:hanging="0" w:start="720" w:end="720"/>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ingle">
    <w:name w:val="single"/>
    <w:basedOn w:val="Normal"/>
    <w:qFormat/>
    <w:pPr/>
    <w:rPr/>
  </w:style>
  <w:style w:type="paragraph" w:styleId="FootnoteText">
    <w:name w:val="footnote text"/>
    <w:basedOn w:val="single"/>
    <w:pPr/>
    <w:rPr>
      <w:sz w:val="22"/>
    </w:rPr>
  </w:style>
  <w:style w:type="paragraph" w:styleId="CommentText">
    <w:name w:val="Comment Text"/>
    <w:basedOn w:val="FootnoteText"/>
    <w:qFormat/>
    <w:pPr/>
    <w:rPr/>
  </w:style>
  <w:style w:type="paragraph" w:styleId="singleblock">
    <w:name w:val="single block"/>
    <w:basedOn w:val="single"/>
    <w:qFormat/>
    <w:pPr>
      <w:ind w:hanging="0" w:start="0" w:end="0"/>
    </w:pPr>
    <w:rPr/>
  </w:style>
  <w:style w:type="paragraph" w:styleId="unjustifiedblock">
    <w:name w:val="unjustified block"/>
    <w:basedOn w:val="singleblock"/>
    <w:qFormat/>
    <w:pPr/>
    <w:rPr/>
  </w:style>
  <w:style w:type="paragraph" w:styleId="TOC1">
    <w:name w:val="toc 1"/>
    <w:basedOn w:val="unjustifiedblock"/>
    <w:pPr>
      <w:keepNext w:val="true"/>
      <w:keepLines/>
      <w:tabs>
        <w:tab w:val="clear" w:pos="720"/>
        <w:tab w:val="left" w:pos="1710" w:leader="none"/>
        <w:tab w:val="left" w:pos="8280" w:leader="dot"/>
        <w:tab w:val="right" w:pos="8640" w:leader="none"/>
      </w:tabs>
      <w:ind w:hanging="1710" w:start="1710" w:end="1440"/>
    </w:pPr>
    <w:rPr/>
  </w:style>
  <w:style w:type="paragraph" w:styleId="TOC2">
    <w:name w:val="toc 2"/>
    <w:basedOn w:val="TOC1"/>
    <w:pPr>
      <w:keepNext w:val="false"/>
      <w:ind w:hanging="990" w:start="1710" w:end="1440"/>
    </w:pPr>
    <w:rPr/>
  </w:style>
  <w:style w:type="paragraph" w:styleId="TOC3">
    <w:name w:val="toc 3"/>
    <w:basedOn w:val="TOC2"/>
    <w:pPr>
      <w:tabs>
        <w:tab w:val="clear" w:pos="1710"/>
        <w:tab w:val="left" w:pos="2880" w:leader="none"/>
        <w:tab w:val="left" w:pos="8280" w:leader="dot"/>
        <w:tab w:val="right" w:pos="8640" w:leader="none"/>
      </w:tabs>
      <w:ind w:hanging="1170" w:start="2880" w:end="1440"/>
    </w:pPr>
    <w:rPr/>
  </w:style>
  <w:style w:type="paragraph" w:styleId="TOC4">
    <w:name w:val="toc 4"/>
    <w:basedOn w:val="TOC3"/>
    <w:pPr>
      <w:tabs>
        <w:tab w:val="clear" w:pos="2880"/>
        <w:tab w:val="left" w:pos="4590" w:leader="none"/>
        <w:tab w:val="left" w:pos="8280" w:leader="dot"/>
        <w:tab w:val="right" w:pos="8640" w:leader="none"/>
      </w:tabs>
      <w:ind w:hanging="1710" w:start="4590" w:end="1440"/>
    </w:pPr>
    <w:rPr/>
  </w:style>
  <w:style w:type="paragraph" w:styleId="TOC7">
    <w:name w:val="toc 7"/>
    <w:basedOn w:val="TOC4"/>
    <w:pPr>
      <w:ind w:hanging="1710" w:start="5040" w:end="1440"/>
    </w:pPr>
    <w:rPr/>
  </w:style>
  <w:style w:type="paragraph" w:styleId="TOC6">
    <w:name w:val="toc 6"/>
    <w:basedOn w:val="TOC4"/>
    <w:pPr>
      <w:tabs>
        <w:tab w:val="left" w:pos="4590" w:leader="none"/>
        <w:tab w:val="left" w:pos="6210" w:leader="none"/>
        <w:tab w:val="left" w:pos="8280" w:leader="dot"/>
        <w:tab w:val="right" w:pos="8640" w:leader="none"/>
      </w:tabs>
      <w:ind w:hanging="720" w:start="6210" w:end="1440"/>
    </w:pPr>
    <w:rPr/>
  </w:style>
  <w:style w:type="paragraph" w:styleId="TOC5">
    <w:name w:val="toc 5"/>
    <w:basedOn w:val="TOC4"/>
    <w:pPr>
      <w:tabs>
        <w:tab w:val="clear" w:pos="4590"/>
        <w:tab w:val="left" w:pos="5490" w:leader="none"/>
        <w:tab w:val="left" w:pos="8280" w:leader="dot"/>
        <w:tab w:val="right" w:pos="8640" w:leader="none"/>
      </w:tabs>
      <w:ind w:hanging="900" w:start="5490" w:end="1440"/>
    </w:pPr>
    <w:rPr/>
  </w:style>
  <w:style w:type="paragraph" w:styleId="Index1">
    <w:name w:val="index 1"/>
    <w:basedOn w:val="unjustifiedblock"/>
    <w:next w:val="Normal"/>
    <w:pPr/>
    <w:rPr>
      <w:color w:val="0000FF"/>
    </w:rPr>
  </w:style>
  <w:style w:type="paragraph" w:styleId="Index7">
    <w:name w:val="Index 7"/>
    <w:basedOn w:val="Index1"/>
    <w:qFormat/>
    <w:pPr>
      <w:ind w:hanging="0" w:start="2160" w:end="0"/>
    </w:pPr>
    <w:rPr/>
  </w:style>
  <w:style w:type="paragraph" w:styleId="Index6">
    <w:name w:val="Index 6"/>
    <w:basedOn w:val="Index1"/>
    <w:qFormat/>
    <w:pPr>
      <w:ind w:hanging="0" w:start="1800" w:end="0"/>
    </w:pPr>
    <w:rPr/>
  </w:style>
  <w:style w:type="paragraph" w:styleId="Index5">
    <w:name w:val="Index 5"/>
    <w:basedOn w:val="Index1"/>
    <w:qFormat/>
    <w:pPr>
      <w:ind w:hanging="0" w:start="1440" w:end="0"/>
    </w:pPr>
    <w:rPr/>
  </w:style>
  <w:style w:type="paragraph" w:styleId="Index4">
    <w:name w:val="Index 4"/>
    <w:basedOn w:val="Index1"/>
    <w:qFormat/>
    <w:pPr>
      <w:ind w:hanging="0" w:start="1080" w:end="0"/>
    </w:pPr>
    <w:rPr/>
  </w:style>
  <w:style w:type="paragraph" w:styleId="Index3">
    <w:name w:val="index 3"/>
    <w:basedOn w:val="Index1"/>
    <w:pPr>
      <w:ind w:hanging="0" w:start="720" w:end="0"/>
    </w:pPr>
    <w:rPr/>
  </w:style>
  <w:style w:type="paragraph" w:styleId="Index2">
    <w:name w:val="index 2"/>
    <w:basedOn w:val="Index1"/>
    <w:pPr>
      <w:ind w:hanging="0" w:start="360" w:end="0"/>
    </w:pPr>
    <w:rPr/>
  </w:style>
  <w:style w:type="paragraph" w:styleId="IndexHeading">
    <w:name w:val="index heading"/>
    <w:basedOn w:val="Normal"/>
    <w:next w:val="Normal"/>
    <w:pPr/>
    <w:rPr>
      <w:b/>
    </w:rPr>
  </w:style>
  <w:style w:type="paragraph" w:styleId="plain">
    <w:name w:val="plain"/>
    <w:basedOn w:val="unjustifiedblock"/>
    <w:qFormat/>
    <w:pPr>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plain"/>
    <w:pPr>
      <w:tabs>
        <w:tab w:val="clear" w:pos="720"/>
        <w:tab w:val="right" w:pos="9000" w:leader="none"/>
      </w:tabs>
    </w:pPr>
    <w:rPr>
      <w:color w:val="0000FF"/>
      <w:sz w:val="16"/>
    </w:rPr>
  </w:style>
  <w:style w:type="paragraph" w:styleId="Header">
    <w:name w:val="header"/>
    <w:basedOn w:val="plain"/>
    <w:pPr>
      <w:tabs>
        <w:tab w:val="clear" w:pos="720"/>
        <w:tab w:val="center" w:pos="4507" w:leader="none"/>
        <w:tab w:val="right" w:pos="9000" w:leader="none"/>
      </w:tabs>
    </w:pPr>
    <w:rPr/>
  </w:style>
  <w:style w:type="paragraph" w:styleId="NormalIndent">
    <w:name w:val="Normal Indent"/>
    <w:basedOn w:val="singleblock"/>
    <w:qFormat/>
    <w:pPr>
      <w:ind w:hanging="0" w:start="720" w:end="720"/>
    </w:pPr>
    <w:rPr/>
  </w:style>
  <w:style w:type="paragraph" w:styleId="normalblock">
    <w:name w:val="normal block"/>
    <w:basedOn w:val="Normal"/>
    <w:qFormat/>
    <w:pPr>
      <w:ind w:hanging="0" w:start="0" w:end="0"/>
    </w:pPr>
    <w:rPr/>
  </w:style>
  <w:style w:type="paragraph" w:styleId="normalhanging">
    <w:name w:val="normal hanging"/>
    <w:basedOn w:val="normalblock"/>
    <w:qFormat/>
    <w:pPr>
      <w:ind w:hanging="720" w:start="720" w:end="0"/>
    </w:pPr>
    <w:rPr/>
  </w:style>
  <w:style w:type="paragraph" w:styleId="singlehanging">
    <w:name w:val="single hanging"/>
    <w:basedOn w:val="normalhanging"/>
    <w:qFormat/>
    <w:pPr/>
    <w:rPr/>
  </w:style>
  <w:style w:type="paragraph" w:styleId="center">
    <w:name w:val="center"/>
    <w:basedOn w:val="unjustifiedblock"/>
    <w:qFormat/>
    <w:pPr>
      <w:keepLines/>
      <w:jc w:val="center"/>
    </w:pPr>
    <w:rPr/>
  </w:style>
  <w:style w:type="paragraph" w:styleId="singlehanging2">
    <w:name w:val="single hanging2"/>
    <w:basedOn w:val="singlehanging"/>
    <w:qFormat/>
    <w:pPr>
      <w:ind w:hanging="720" w:start="1440" w:end="0"/>
    </w:pPr>
    <w:rPr/>
  </w:style>
  <w:style w:type="paragraph" w:styleId="table">
    <w:name w:val="table"/>
    <w:basedOn w:val="plain"/>
    <w:qFormat/>
    <w:pPr>
      <w:spacing w:lineRule="auto" w:line="240" w:before="60" w:after="60"/>
    </w:pPr>
    <w:rPr/>
  </w:style>
  <w:style w:type="paragraph" w:styleId="footnoteblock">
    <w:name w:val="footnote block"/>
    <w:basedOn w:val="FootnoteText"/>
    <w:qFormat/>
    <w:pPr>
      <w:ind w:hanging="0" w:start="0" w:end="0"/>
    </w:pPr>
    <w:rPr>
      <w:sz w:val="22"/>
    </w:rPr>
  </w:style>
  <w:style w:type="paragraph" w:styleId="footnoteindent">
    <w:name w:val="footnote indent"/>
    <w:basedOn w:val="footnoteblock"/>
    <w:qFormat/>
    <w:pPr>
      <w:ind w:hanging="0" w:start="1440" w:end="720"/>
    </w:pPr>
    <w:rPr/>
  </w:style>
  <w:style w:type="paragraph" w:styleId="title">
    <w:name w:val="title"/>
    <w:basedOn w:val="center"/>
    <w:next w:val="Normal"/>
    <w:qFormat/>
    <w:pPr>
      <w:keepNext w:val="true"/>
      <w:ind w:hanging="0" w:start="720" w:end="720"/>
    </w:pPr>
    <w:rPr>
      <w:b/>
    </w:rPr>
  </w:style>
  <w:style w:type="paragraph" w:styleId="singlehanging3">
    <w:name w:val="single hanging3"/>
    <w:basedOn w:val="singlehanging2"/>
    <w:qFormat/>
    <w:pPr>
      <w:ind w:hanging="720" w:start="2160" w:end="0"/>
    </w:pPr>
    <w:rPr/>
  </w:style>
  <w:style w:type="paragraph" w:styleId="righthalf">
    <w:name w:val="right half"/>
    <w:basedOn w:val="unjustifiedblock"/>
    <w:qFormat/>
    <w:pPr>
      <w:keepLines/>
      <w:tabs>
        <w:tab w:val="clear" w:pos="720"/>
        <w:tab w:val="left" w:pos="4190" w:leader="none"/>
        <w:tab w:val="right" w:pos="8640" w:leader="none"/>
      </w:tabs>
      <w:ind w:hanging="0" w:start="3787" w:end="0"/>
    </w:pPr>
    <w:rPr/>
  </w:style>
  <w:style w:type="paragraph" w:styleId="singleindent">
    <w:name w:val="single indent"/>
    <w:basedOn w:val="NormalIndent"/>
    <w:qFormat/>
    <w:pPr/>
    <w:rPr/>
  </w:style>
  <w:style w:type="paragraph" w:styleId="unjustifiedhanging">
    <w:name w:val="unjustified hanging"/>
    <w:basedOn w:val="unjustifiedblock"/>
    <w:qFormat/>
    <w:pPr>
      <w:ind w:hanging="720" w:start="720" w:end="0"/>
    </w:pPr>
    <w:rPr/>
  </w:style>
  <w:style w:type="paragraph" w:styleId="roman">
    <w:name w:val="roman"/>
    <w:basedOn w:val="Normal"/>
    <w:qFormat/>
    <w:pPr>
      <w:tabs>
        <w:tab w:val="clear" w:pos="720"/>
        <w:tab w:val="right" w:pos="1800" w:leader="none"/>
        <w:tab w:val="left" w:pos="2160" w:leader="none"/>
      </w:tabs>
      <w:ind w:hanging="0" w:start="720" w:end="0"/>
    </w:pPr>
    <w:rPr/>
  </w:style>
  <w:style w:type="paragraph" w:styleId="nest">
    <w:name w:val="nest"/>
    <w:basedOn w:val="Normal"/>
    <w:qFormat/>
    <w:pPr>
      <w:ind w:firstLine="720" w:start="720" w:end="0"/>
    </w:pPr>
    <w:rPr/>
  </w:style>
  <w:style w:type="paragraph" w:styleId="normal2">
    <w:name w:val="normal2"/>
    <w:basedOn w:val="Normal"/>
    <w:qFormat/>
    <w:pPr>
      <w:ind w:firstLine="1440" w:start="0" w:end="0"/>
    </w:pPr>
    <w:rPr/>
  </w:style>
  <w:style w:type="paragraph" w:styleId="coverpage">
    <w:name w:val="cover page"/>
    <w:basedOn w:val="unjustifiedblock"/>
    <w:qFormat/>
    <w:pPr>
      <w:spacing w:lineRule="atLeast" w:line="360"/>
      <w:jc w:val="center"/>
    </w:pPr>
    <w:rPr>
      <w:b/>
    </w:rPr>
  </w:style>
  <w:style w:type="paragraph" w:styleId="normal3">
    <w:name w:val="normal3"/>
    <w:basedOn w:val="Normal"/>
    <w:qFormat/>
    <w:pPr>
      <w:ind w:firstLine="2160" w:start="0" w:end="0"/>
    </w:pPr>
    <w:rPr/>
  </w:style>
  <w:style w:type="paragraph" w:styleId="unjustifiedhanging2">
    <w:name w:val="unjustified hanging2"/>
    <w:basedOn w:val="unjustifiedhanging"/>
    <w:qFormat/>
    <w:pPr>
      <w:ind w:hanging="720" w:start="1440" w:end="0"/>
    </w:pPr>
    <w:rPr/>
  </w:style>
  <w:style w:type="paragraph" w:styleId="normalhanging2">
    <w:name w:val="normal hanging2"/>
    <w:basedOn w:val="Normal"/>
    <w:qFormat/>
    <w:pPr>
      <w:ind w:hanging="720" w:start="1440" w:end="0"/>
    </w:pPr>
    <w:rPr/>
  </w:style>
  <w:style w:type="paragraph" w:styleId="normalhanging3">
    <w:name w:val="normal hanging3"/>
    <w:basedOn w:val="Normal"/>
    <w:qFormat/>
    <w:pPr>
      <w:ind w:hanging="720" w:start="2160" w:end="0"/>
    </w:pPr>
    <w:rPr/>
  </w:style>
  <w:style w:type="paragraph" w:styleId="footnotehanging">
    <w:name w:val="footnote hanging"/>
    <w:basedOn w:val="footnoteindent"/>
    <w:qFormat/>
    <w:pPr>
      <w:ind w:hanging="720" w:start="720" w:end="720"/>
    </w:pPr>
    <w:rPr/>
  </w:style>
  <w:style w:type="paragraph" w:styleId="macrobutton">
    <w:name w:val="macrobutton"/>
    <w:basedOn w:val="plain"/>
    <w:qFormat/>
    <w:pPr>
      <w:pBdr>
        <w:top w:val="single" w:sz="6" w:space="1" w:color="000000" w:shadow="1"/>
        <w:left w:val="single" w:sz="6" w:space="1" w:color="000000" w:shadow="1"/>
        <w:bottom w:val="single" w:sz="6" w:space="1" w:color="000000" w:shadow="1"/>
        <w:right w:val="single" w:sz="6" w:space="1" w:color="000000" w:shadow="1"/>
      </w:pBdr>
      <w:ind w:hanging="0" w:start="-144" w:end="4320"/>
    </w:pPr>
    <w:rPr>
      <w:rFonts w:ascii="Univers (WN)" w:hAnsi="Univers (WN)" w:cs="Univers (WN)"/>
      <w:b/>
      <w:i/>
      <w:vanish/>
      <w:color w:val="FF0000"/>
      <w:sz w:val="26"/>
    </w:rPr>
  </w:style>
  <w:style w:type="paragraph" w:styleId="unjustifiedhanging3">
    <w:name w:val="unjustified hanging3"/>
    <w:basedOn w:val="unjustifiedhanging2"/>
    <w:qFormat/>
    <w:pPr>
      <w:ind w:hanging="720" w:start="2160" w:end="0"/>
    </w:pPr>
    <w:rPr/>
  </w:style>
  <w:style w:type="paragraph" w:styleId="GilbertAssoc1990">
    <w:name w:val="©Gilbert&amp;Assoc. 1990"/>
    <w:basedOn w:val="Normal"/>
    <w:qFormat/>
    <w:pPr/>
    <w:rPr/>
  </w:style>
  <w:style w:type="paragraph" w:styleId="EnvelopeAddress">
    <w:name w:val="envelope address"/>
    <w:basedOn w:val="Normal"/>
    <w:pPr>
      <w:spacing w:lineRule="auto" w:line="240" w:before="0" w:after="0"/>
      <w:ind w:firstLine="1440" w:start="2880" w:end="0"/>
    </w:pPr>
    <w:rPr>
      <w:sz w:val="24"/>
    </w:rPr>
  </w:style>
  <w:style w:type="paragraph" w:styleId="EnvelopeReturn">
    <w:name w:val="envelope return"/>
    <w:basedOn w:val="Normal"/>
    <w:pPr>
      <w:spacing w:lineRule="auto" w:line="240" w:before="0" w:after="0"/>
      <w:ind w:hanging="0" w:start="0" w:end="0"/>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Pc-ctr2.dot</Template>
  <TotalTime>126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2000-04-26T18:31:00Z</dcterms:created>
  <dc:creator>Gagnon, Andree G.</dc:creator>
  <dc:description/>
  <cp:keywords>07770-0036</cp:keywords>
  <dc:language>en-CA</dc:language>
  <cp:lastModifiedBy>PSE</cp:lastModifiedBy>
  <cp:lastPrinted>2000-05-12T16:31:00Z</cp:lastPrinted>
  <dcterms:modified xsi:type="dcterms:W3CDTF">2000-05-12T21:01:00Z</dcterms:modified>
  <cp:revision>9</cp:revision>
  <dc:subject>6</dc:subject>
  <dc:title>swap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uthor">
    <vt:lpwstr>No Name</vt:lpwstr>
  </property>
  <property fmtid="{D5CDD505-2E9C-101B-9397-08002B2CF9AE}" pid="3" name="application">
    <vt:lpwstr>WINWORD - .DOC</vt:lpwstr>
  </property>
  <property fmtid="{D5CDD505-2E9C-101B-9397-08002B2CF9AE}" pid="4" name="archive">
    <vt:lpwstr>24 MOS. LAST ACCESS</vt:lpwstr>
  </property>
  <property fmtid="{D5CDD505-2E9C-101B-9397-08002B2CF9AE}" pid="5" name="association">
    <vt:lpwstr>Environ/Energy</vt:lpwstr>
  </property>
  <property fmtid="{D5CDD505-2E9C-101B-9397-08002B2CF9AE}" pid="6" name="author">
    <vt:lpwstr>Gagnon, Andree G.</vt:lpwstr>
  </property>
  <property fmtid="{D5CDD505-2E9C-101B-9397-08002B2CF9AE}" pid="7" name="catid">
    <vt:lpwstr>BA</vt:lpwstr>
  </property>
  <property fmtid="{D5CDD505-2E9C-101B-9397-08002B2CF9AE}" pid="8" name="ckogroup">
    <vt:lpwstr>GENERAL USERS</vt:lpwstr>
  </property>
  <property fmtid="{D5CDD505-2E9C-101B-9397-08002B2CF9AE}" pid="9" name="doctype">
    <vt:lpwstr>Pc-ctr2.dot</vt:lpwstr>
  </property>
  <property fmtid="{D5CDD505-2E9C-101B-9397-08002B2CF9AE}" pid="10" name="filecat">
    <vt:lpwstr>17 ENERGY</vt:lpwstr>
  </property>
  <property fmtid="{D5CDD505-2E9C-101B-9397-08002B2CF9AE}" pid="11" name="filename">
    <vt:lpwstr>BA003677.462</vt:lpwstr>
  </property>
  <property fmtid="{D5CDD505-2E9C-101B-9397-08002B2CF9AE}" pid="12" name="in use by">
    <vt:lpwstr>Pope, Steven E.</vt:lpwstr>
  </property>
  <property fmtid="{D5CDD505-2E9C-101B-9397-08002B2CF9AE}" pid="13" name="indextext">
    <vt:lpwstr/>
  </property>
  <property fmtid="{D5CDD505-2E9C-101B-9397-08002B2CF9AE}" pid="14" name="reference">
    <vt:lpwstr>07770-0036</vt:lpwstr>
  </property>
  <property fmtid="{D5CDD505-2E9C-101B-9397-08002B2CF9AE}" pid="15" name="refname1">
    <vt:lpwstr/>
  </property>
  <property fmtid="{D5CDD505-2E9C-101B-9397-08002B2CF9AE}" pid="16" name="refname2">
    <vt:lpwstr/>
  </property>
  <property fmtid="{D5CDD505-2E9C-101B-9397-08002B2CF9AE}" pid="17" name="title">
    <vt:lpwstr>swap agreement</vt:lpwstr>
  </property>
  <property fmtid="{D5CDD505-2E9C-101B-9397-08002B2CF9AE}" pid="18" name="typist">
    <vt:lpwstr>Pope, Steven E.</vt:lpwstr>
  </property>
  <property fmtid="{D5CDD505-2E9C-101B-9397-08002B2CF9AE}" pid="19" name="version">
    <vt:lpwstr>6</vt:lpwstr>
  </property>
</Properties>
</file>