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December,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The Parties are relying upon the fact that all Transactions, together with this Agreement, shall constitute a single integrated agreement, and that the Parties would not otherwise enter into any Transaction.  Each Transaction shall be effectuated and evidenced by a written paper-based (unless the parties mutually agree to an electronic) Transaction Agreement executed by the Parties, including by facsimile and/or counterparts, and shall constitute a part of this Agreement. 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 and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sell and deliver to Customer, and Customer will purchase and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as soon as practicable after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the energy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exceeds the Maximum Usage established for such time period.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is less than the Minimum Usage established for such time period. </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Outline2"/>
        <w:widowControl w:val="false"/>
        <w:jc w:val="both"/>
        <w:rPr>
          <w:b/>
          <w:u w:val="single"/>
        </w:rPr>
      </w:pPr>
      <w:r>
        <w:rPr>
          <w:b/>
          <w:u w:val="single"/>
        </w:rPr>
      </w:r>
    </w:p>
    <w:p>
      <w:pPr>
        <w:pStyle w:val="Outline2"/>
        <w:widowControl w:val="false"/>
        <w:jc w:val="both"/>
        <w:rPr/>
      </w:pPr>
      <w:r>
        <w:rPr/>
        <w:tab/>
      </w:r>
      <w:r>
        <w:rPr>
          <w:b/>
        </w:rPr>
        <w:t>3.3.1.</w:t>
      </w:r>
      <w:r>
        <w:rPr/>
        <w:t xml:space="preserve">  </w:t>
      </w:r>
      <w:r>
        <w:rPr>
          <w:b/>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r>
        <w:rPr>
          <w:b/>
        </w:rPr>
        <w:t>.</w:t>
      </w:r>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energy during the monthly Billing Cycle under this Agreement, including any related damages calculated pursuant to </w:t>
      </w:r>
      <w:r>
        <w:rPr>
          <w:u w:val="single"/>
        </w:rPr>
        <w:t>Section 4.3</w:t>
      </w:r>
      <w:r>
        <w:rPr/>
        <w:t>, interest, and payments or credits, shall be netted so that only the excess amount remaining due shall be paid by the Party who owes it.</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or Transactions, the Non-Defaulting Party may (</w:t>
      </w:r>
      <w:r>
        <w:rPr>
          <w:lang w:val="en-CA"/>
        </w:rPr>
        <w:t>i</w:t>
      </w:r>
      <w:r>
        <w:rPr/>
        <w:t>) provide written notice of such Event of Default to the Non-Defaulting Party stating the nature of such Event of Default and that the Non-Defaulting Party may terminate the affected Transaction(s) if such Event of Default is not cured within ten calendar days of the date of such notice ("</w:t>
      </w:r>
      <w:r>
        <w:rPr>
          <w:u w:val="single"/>
        </w:rPr>
        <w:t>Cure Period</w:t>
      </w:r>
      <w:r>
        <w:rPr/>
        <w:t>"); (ii) establish a date between one and ten business days after expiration of the Cure Period on which the affected Transaction(s) will terminate ("</w:t>
      </w:r>
      <w:r>
        <w:rPr>
          <w:u w:val="single"/>
        </w:rPr>
        <w:t>Early Termination Date</w:t>
      </w:r>
      <w:r>
        <w:rPr/>
        <w:t>"); and (iii) withhold any payments due under the affected Transaction(s);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in a commercially reasonable manner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third party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in a commercially reasonable manner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in a commercially reasonable manner by comparing the Contract Value to the Market Value.   A discount rate equal to the Prime Rate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information either available to it internally or supplied by one or more third parties, including, among other things, settlement prices of applicable NYMEX power futures contracts, quotations (either firm or indicative)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As soon as practicable after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Regulatory Termination</w:t>
      </w:r>
      <w:r>
        <w:rPr>
          <w:b/>
        </w:rPr>
        <w:t>.</w:t>
      </w:r>
      <w:r>
        <w:rPr/>
        <w:t xml:space="preserve">  If EESI or its activities under any Transaction become subject to regulation of any kind whatsoever under any Law to a greater or different extent than that existing on any Transaction Effective Date, and such regulation results in EESI being regulated as a public utility with respect to its activities pursuant to a Transaction or Transactions, then the Parties shall promptly meet in order to determine whether the affected Transaction(s) can be (i) restructured in a mutually acceptable manner in order to mitigate the effects of such regulation; or (ii) assigned to another entity that is not affected by such regulation consistent with </w:t>
      </w:r>
      <w:r>
        <w:rPr>
          <w:u w:val="single"/>
        </w:rPr>
        <w:t>Section 5.6</w:t>
      </w:r>
      <w:r>
        <w:rPr/>
        <w:t xml:space="preserve"> of this Agreement.  Should the Parties be unable to agree as set forth immediately above, then EESI may unilaterally terminate any affected Transaction (but no other Transactions) upon at least thirty days prior written notice to Customer, without any obligation (whether payment or otherwise) or other liability to Customer, which termination will be effective at 24:00:00, Local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and (b)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purchase and sale of energy, or any other services provided, pursuant to any Transaction, as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served under a specific Transaction Agreement during each Contract Year of such Transaction Agreement or other period of determination as may be otherwise specified in a Transaction Agreement. </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a period of time specified in a Transaction Agreement, commencing on the Transaction Commencement Date.  Unless otherwise specified in a Transaction Agreement, the Anticipated Usage for each Transaction will be equal to an amount of energy (in kWh) anticipated to be used at all Facilities served pursuant to such Transaction during each Contract Year, all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HE 0100 through HE 2400 (24 hours each day), Monday through Sunday, including NERC holidays, for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fifteen calendar days subsequent to the “invoice date” stated on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anticipated as of the applicable Transaction Effective Date and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Neither Party may raise a claim of Force Majeure based in whole or in part on curtailment by a Transmission Provider unless (i) such Party has contracted for firm transmission with a Transmission Provider for the energy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unless otherwise specified in the applicable Transaction Agreement. </w:t>
      </w:r>
    </w:p>
    <w:p>
      <w:pPr>
        <w:pStyle w:val="Normal"/>
        <w:widowControl w:val="false"/>
        <w:ind w:firstLine="720" w:end="0"/>
        <w:jc w:val="both"/>
        <w:rPr/>
      </w:pPr>
      <w:r>
        <w:rPr>
          <w:i/>
        </w:rPr>
        <w:t>"Minimum Usage"</w:t>
      </w:r>
      <w:r>
        <w:rPr/>
        <w:t xml:space="preserve"> means, for each Transaction, Actual Usage of 90% of the applicable Anticipated Usage, unless otherwise specified in the applicable Transaction Agreement.</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to the extent not included in any applicable Replacement Price)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“Prime Rate”</w:t>
      </w:r>
      <w:r>
        <w:rPr/>
        <w:t xml:space="preserve"> means </w:t>
      </w:r>
      <w:r>
        <w:rPr>
          <w:color w:val="000000"/>
        </w:rPr>
        <w:t>the prime rate or base rate of interest announced by, and in effect from time to time at, The Chase Manhattan Bank, N.A.</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t>“</w:t>
      </w:r>
      <w:r>
        <w:rPr>
          <w:i/>
        </w:rPr>
        <w:t>Replacement Price</w:t>
      </w:r>
      <w:r>
        <w:rPr/>
        <w:t>” means the price at which Customer, acting in a commercially reasonable manner, purchases for delivery at the Delivery Point a replacement for the Contract Quantity specified in an Option Exercise Notice but not delivered by EESI, plus (i) third party costs reasonably incurred by Customer in purchasing such substitute Contract Quantity; (ii) additional transmission charges, if any, reasonably incurred by Customer to the Delivery Point, and (iii) any Penalties.</w:t>
      </w:r>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unless otherwise specified in a Transaction Agreement,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to a Facility under a Transaction.</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r>
        <w:rPr/>
        <w:t>“</w:t>
      </w:r>
      <w:r>
        <w:rPr>
          <w:i/>
        </w:rPr>
        <w:t>Utility Curtailment Order</w:t>
      </w:r>
      <w:r>
        <w:rPr/>
        <w:t>” is defined in Section 2.3.2.</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including, without limitation, applicable Distribution Charges.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Company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Services under this Transaction and the EESI Energy Price shall begin on and as of the Transaction Commencement Date, which shall be 00:00:01, Local Time, of the first day of the Billing Cycle commencing in [_________].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snapToGrid w:val="false"/>
              <w:ind w:hanging="0" w:start="0"/>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sell and deliver, and Customer will purchase and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  As Customer’s limited agent, EESI will make all necessary arrangements with the applicable Utility for redelivery to the applicable Facility of the energy delivered by EESI to the Delivery Point.</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 and agree to indemnify, defend and hold harmless the other Party for such claims.</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energy usage for such Facility during the applicable Billing Cycle in the prior year (as normalized for weather-related effects) or (b) two (2) MW’s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Transaction, or a Utility Curtailment Order, if EESI fails to deliver all or part of the Contract Quantity for a Facility to the applicable Delivery Point during the applicable Delivery Term, EESI will be responsible for any penalties directly related to such failure; provided that, in the case where Customer is required to obtain energy to replace the applicable Contact Quantity, in whole or in part, EESI shall instead pay Customer, within twenty business days of invoice receipt, an amount for each kWh of such deficiency equal to the positive difference, if any, obtained by subtracting the EESI Energy Price from the Replacement Price;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/mnt/main-storage/datasets/enron-docs/doc/Master_12_04.doc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/mnt/main-storage/datasets/enron-docs/doc/Master_12_04.doc</w:t>
    </w:r>
    <w:r>
      <w:rPr>
        <w:sz w:val="14"/>
        <w:lang w:eastAsia="en-US"/>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/mnt/main-storage/datasets/enron-docs/doc/Master_12_04.doc</w:t>
    </w:r>
    <w:r>
      <w:rPr>
        <w:rStyle w:val="PageNumber"/>
        <w:sz w:val="14"/>
        <w:lang w:eastAsia="en-US"/>
      </w:rPr>
      <w:fldChar w:fldCharType="end"/>
    </w:r>
    <w:r>
      <w:rPr>
        <w:rStyle w:val="PageNumber"/>
        <w:sz w:val="16"/>
        <w:lang w:eastAsia="en-US"/>
      </w:rPr>
      <w:tab/>
    </w:r>
    <w:r>
      <w:rPr>
        <w:rStyle w:val="PageNumber"/>
        <w:lang w:eastAsia="en-US"/>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/mnt/main-storage/datasets/enron-docs/doc/Master_12_04.doc</w:t>
    </w:r>
    <w:r>
      <w:rPr>
        <w:rStyle w:val="PageNumber"/>
        <w:sz w:val="14"/>
        <w:lang w:eastAsia="en-US"/>
      </w:rPr>
      <w:fldChar w:fldCharType="end"/>
    </w:r>
    <w:r>
      <w:rPr>
        <w:rStyle w:val="PageNumber"/>
        <w:sz w:val="16"/>
        <w:lang w:eastAsia="en-US"/>
      </w:rPr>
      <w:tab/>
    </w:r>
    <w:r>
      <w:rPr>
        <w:rStyle w:val="PageNumber"/>
        <w:lang w:eastAsia="en-US"/>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/mnt/main-storage/datasets/enron-docs/doc/Master_12_04.doc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Times New Roman" w:hAnsi="CG Times;Times New Roman" w:cs="CG Times;Times New Roman"/>
      <w:b/>
      <w:i w:val="false"/>
      <w:sz w:val="20"/>
    </w:rPr>
  </w:style>
  <w:style w:type="character" w:styleId="WW8Num9z1">
    <w:name w:val="WW8Num9z1"/>
    <w:qFormat/>
    <w:rPr>
      <w:rFonts w:ascii="CG Times;Times New Roman" w:hAnsi="CG Times;Times New Roman" w:cs="CG Times;Times New Roman"/>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2000-12-04T13:13:00Z</dcterms:created>
  <dc:creator>EES</dc:creator>
  <dc:description/>
  <dc:language>en-CA</dc:language>
  <cp:lastModifiedBy>msmith2</cp:lastModifiedBy>
  <cp:lastPrinted>2000-09-07T13:46:00Z</cp:lastPrinted>
  <dcterms:modified xsi:type="dcterms:W3CDTF">2000-12-06T14:05:00Z</dcterms:modified>
  <cp:revision>15</cp:revision>
  <dc:subject>State of New York/5.25</dc:subject>
  <dc:title>Electric Energy Sales and Services Agreement</dc:title>
</cp:coreProperties>
</file>