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Each Transaction shall be effectuated and evidenced by a written paper-based Transaction Agreement executed by the Parties, including by facsimile and/or counterparts, and shall constitute a part of this Agreement.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including any increases in Utility Invoices that are due to an increase in the tariff rate charged by the applicable Utility;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deliver to Customer, and Customer will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on the first date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each of the services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For each Transaction, in the event that for any Contract Year other than the first Contract Year, Customer's Actual Usage exceeds the Maximum Usage for such Contract Year ("</w:t>
      </w:r>
      <w:r>
        <w:rPr>
          <w:u w:val="single"/>
          <w:lang w:eastAsia="en-US"/>
        </w:rPr>
        <w:t>Excess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Excess Usage, an Excess Usage Charge calculated pursuant to the applicable Transaction Agreement.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For each Transaction, in the event that for any Contract Year other than the first Contract Year Customer's Actual Usage is less than the Minimum Usage for such Contract Year ("</w:t>
      </w:r>
      <w:r>
        <w:rPr>
          <w:u w:val="single"/>
          <w:lang w:eastAsia="en-US"/>
        </w:rPr>
        <w:t>Deficiency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Deficiency Usage, a Deficiency Usage Charge calculated pursuant to the applicable Transaction Agreement.</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rPr>
        <w:t>i</w:t>
      </w:r>
      <w:r>
        <w:rPr/>
        <w:t>) provide written notice of such Event of Default to the Non-Defaulting Party stating the nature of such Event of Default and that the Non-Defaulting Party may terminate the affected Transaction if such Event of Default is not cured within ten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and (iii) withhold any payments due under the affected Transaction;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by comparing the Contract Value to the Market Value.   A discount rate of 6%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among other things, settlement prices of applicable NYMEX power futures contracts, quotations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and such regulation either (i) renders this Agreement or any Transaction unenforceable or illegal, and/or (ii) results in EESI being regulated as a public utility, then EESI may unilaterally terminate this Agreement or any affected Transaction upon at least thirty days prior written notice to Customer, without any obligation (whether payment or otherwise) or other liability to Customer, which termination will be effective at 24:00:00, Local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(b) it is, for each Facility, and will continue to 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an amount of energy (in kWh) used at all Facilities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w:t>
      </w:r>
    </w:p>
    <w:p>
      <w:pPr>
        <w:pStyle w:val="Normal"/>
        <w:widowControl w:val="false"/>
        <w:ind w:firstLine="720" w:end="0"/>
        <w:jc w:val="both"/>
        <w:rPr/>
      </w:pPr>
      <w:r>
        <w:rPr>
          <w:i/>
        </w:rPr>
        <w:t>"Minimum Usage"</w:t>
      </w:r>
      <w:r>
        <w:rPr/>
        <w:t xml:space="preserve"> means, for each Transaction, Actual Usage of 90% of the applicable 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   ]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deliver, and Customer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/mnt/main-storage/datasets/enron-docs/doc/Master_11_17.doc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/mnt/main-storage/datasets/enron-docs/doc/Master_11_17.doc</w:t>
    </w:r>
    <w:r>
      <w:rPr>
        <w:sz w:val="14"/>
        <w:lang w:eastAsia="en-US"/>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/mnt/main-storage/datasets/enron-docs/doc/Master_11_17.doc</w:t>
    </w:r>
    <w:r>
      <w:rPr>
        <w:rStyle w:val="PageNumber"/>
        <w:sz w:val="14"/>
        <w:lang w:eastAsia="en-US"/>
      </w:rPr>
      <w:fldChar w:fldCharType="end"/>
    </w:r>
    <w:r>
      <w:rPr>
        <w:rStyle w:val="PageNumber"/>
        <w:sz w:val="16"/>
        <w:lang w:eastAsia="en-US"/>
      </w:rPr>
      <w:tab/>
    </w:r>
    <w:r>
      <w:rPr>
        <w:rStyle w:val="PageNumber"/>
        <w:lang w:eastAsia="en-US"/>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/mnt/main-storage/datasets/enron-docs/doc/Master_11_17.doc</w:t>
    </w:r>
    <w:r>
      <w:rPr>
        <w:rStyle w:val="PageNumber"/>
        <w:sz w:val="14"/>
        <w:lang w:eastAsia="en-US"/>
      </w:rPr>
      <w:fldChar w:fldCharType="end"/>
    </w:r>
    <w:r>
      <w:rPr>
        <w:rStyle w:val="PageNumber"/>
        <w:sz w:val="16"/>
        <w:lang w:eastAsia="en-US"/>
      </w:rPr>
      <w:tab/>
    </w:r>
    <w:r>
      <w:rPr>
        <w:rStyle w:val="PageNumber"/>
        <w:lang w:eastAsia="en-US"/>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 w:hAnsi="CG Times" w:cs="CG Times"/>
      <w:b/>
      <w:i w:val="false"/>
      <w:sz w:val="20"/>
    </w:rPr>
  </w:style>
  <w:style w:type="character" w:styleId="WW8Num9z1">
    <w:name w:val="WW8Num9z1"/>
    <w:qFormat/>
    <w:rPr>
      <w:rFonts w:ascii="CG Times" w:hAnsi="CG Times" w:cs="CG Times"/>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2000-11-17T18:35:00Z</dcterms:created>
  <dc:creator>EES</dc:creator>
  <dc:description/>
  <dc:language>en-CA</dc:language>
  <cp:lastModifiedBy>msmith2</cp:lastModifiedBy>
  <cp:lastPrinted>2000-09-07T13:46:00Z</cp:lastPrinted>
  <dcterms:modified xsi:type="dcterms:W3CDTF">2000-11-17T18:58:00Z</dcterms:modified>
  <cp:revision>3</cp:revision>
  <dc:subject>State of New York/5.25</dc:subject>
  <dc:title>Electric Energy Sales and Services Agreement</dc:title>
</cp:coreProperties>
</file>