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Dave Delainey</w:t>
            </w:r>
          </w:p>
        </w:tc>
        <w:tc>
          <w:tcPr>
            <w:tcW w:w="3955" w:type="dxa"/>
            <w:gridSpan w:val="2"/>
            <w:tcBorders/>
          </w:tcPr>
          <w:p>
            <w:pPr>
              <w:pStyle w:val="Heading1"/>
              <w:ind w:hanging="0" w:start="0"/>
              <w:rPr/>
            </w:pPr>
            <w:r>
              <w:rPr/>
              <w:t>Confidential; Attorney Client</w:t>
            </w:r>
          </w:p>
        </w:tc>
      </w:tr>
      <w:tr>
        <w:trPr>
          <w:trHeight w:val="240" w:hRule="exact"/>
        </w:trPr>
        <w:tc>
          <w:tcPr>
            <w:tcW w:w="708" w:type="dxa"/>
            <w:tcBorders/>
          </w:tcPr>
          <w:p>
            <w:pPr>
              <w:pStyle w:val="Normal"/>
              <w:snapToGrid w:val="false"/>
              <w:ind w:start="-180" w:end="0"/>
              <w:jc w:val="end"/>
              <w:rPr>
                <w:sz w:val="16"/>
              </w:rPr>
            </w:pPr>
            <w:r>
              <w:rPr>
                <w:sz w:val="16"/>
              </w:rPr>
            </w:r>
          </w:p>
        </w:tc>
        <w:tc>
          <w:tcPr>
            <w:tcW w:w="6045" w:type="dxa"/>
            <w:tcBorders/>
          </w:tcPr>
          <w:p>
            <w:pPr>
              <w:pStyle w:val="To"/>
              <w:rPr/>
            </w:pPr>
            <w:r>
              <w:rPr/>
              <w:t>Jim Fallon</w:t>
            </w:r>
          </w:p>
        </w:tc>
        <w:tc>
          <w:tcPr>
            <w:tcW w:w="3955" w:type="dxa"/>
            <w:gridSpan w:val="2"/>
            <w:tcBorders/>
          </w:tcPr>
          <w:p>
            <w:pPr>
              <w:pStyle w:val="Heading1"/>
              <w:ind w:hanging="0" w:start="0"/>
              <w:rPr/>
            </w:pPr>
            <w:r>
              <w:rPr/>
              <w:t>Privilege; Work Product;</w:t>
            </w:r>
          </w:p>
        </w:tc>
      </w:tr>
      <w:tr>
        <w:trPr>
          <w:trHeight w:val="240" w:hRule="exact"/>
        </w:trPr>
        <w:tc>
          <w:tcPr>
            <w:tcW w:w="708" w:type="dxa"/>
            <w:tcBorders/>
          </w:tcPr>
          <w:p>
            <w:pPr>
              <w:pStyle w:val="Normal"/>
              <w:snapToGrid w:val="false"/>
              <w:ind w:start="-180" w:end="0"/>
              <w:jc w:val="end"/>
              <w:rPr>
                <w:sz w:val="16"/>
              </w:rPr>
            </w:pPr>
            <w:r>
              <w:rPr>
                <w:sz w:val="16"/>
              </w:rPr>
            </w:r>
          </w:p>
        </w:tc>
        <w:tc>
          <w:tcPr>
            <w:tcW w:w="6045" w:type="dxa"/>
            <w:tcBorders/>
          </w:tcPr>
          <w:p>
            <w:pPr>
              <w:pStyle w:val="To"/>
              <w:rPr/>
            </w:pPr>
            <w:r>
              <w:rPr/>
              <w:t>Lance Halgren</w:t>
            </w:r>
          </w:p>
        </w:tc>
        <w:tc>
          <w:tcPr>
            <w:tcW w:w="3955" w:type="dxa"/>
            <w:gridSpan w:val="2"/>
            <w:tcBorders/>
          </w:tcPr>
          <w:p>
            <w:pPr>
              <w:pStyle w:val="Heading1"/>
              <w:ind w:hanging="0" w:start="0"/>
              <w:rPr/>
            </w:pPr>
            <w:r>
              <w:rPr/>
              <w:t>Not Discoverable</w:t>
            </w:r>
          </w:p>
        </w:tc>
      </w:tr>
      <w:tr>
        <w:trPr>
          <w:trHeight w:val="240" w:hRule="exact"/>
        </w:trPr>
        <w:tc>
          <w:tcPr>
            <w:tcW w:w="708" w:type="dxa"/>
            <w:tcBorders/>
          </w:tcPr>
          <w:p>
            <w:pPr>
              <w:pStyle w:val="Normal"/>
              <w:snapToGrid w:val="false"/>
              <w:ind w:start="-180" w:end="0"/>
              <w:jc w:val="end"/>
              <w:rPr>
                <w:sz w:val="16"/>
              </w:rPr>
            </w:pPr>
            <w:r>
              <w:rPr>
                <w:sz w:val="16"/>
              </w:rPr>
            </w:r>
          </w:p>
        </w:tc>
        <w:tc>
          <w:tcPr>
            <w:tcW w:w="6045" w:type="dxa"/>
            <w:tcBorders/>
          </w:tcPr>
          <w:p>
            <w:pPr>
              <w:pStyle w:val="To"/>
              <w:rPr/>
            </w:pPr>
            <w:r>
              <w:rPr/>
              <w:t>Ozzie Pagen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40" w:hRule="exact"/>
        </w:trPr>
        <w:tc>
          <w:tcPr>
            <w:tcW w:w="708" w:type="dxa"/>
            <w:tcBorders/>
          </w:tcPr>
          <w:p>
            <w:pPr>
              <w:pStyle w:val="Normal"/>
              <w:snapToGrid w:val="false"/>
              <w:ind w:start="-180" w:end="0"/>
              <w:jc w:val="end"/>
              <w:rPr>
                <w:sz w:val="16"/>
              </w:rPr>
            </w:pPr>
            <w:r>
              <w:rPr>
                <w:sz w:val="16"/>
              </w:rPr>
            </w:r>
          </w:p>
        </w:tc>
        <w:tc>
          <w:tcPr>
            <w:tcW w:w="6045" w:type="dxa"/>
            <w:tcBorders/>
          </w:tcPr>
          <w:p>
            <w:pPr>
              <w:pStyle w:val="To"/>
              <w:rPr/>
            </w:pPr>
            <w:r>
              <w:rPr/>
              <w:t>Kevin Presto</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40" w:hRule="exact"/>
        </w:trPr>
        <w:tc>
          <w:tcPr>
            <w:tcW w:w="708" w:type="dxa"/>
            <w:tcBorders/>
          </w:tcPr>
          <w:p>
            <w:pPr>
              <w:pStyle w:val="Normal"/>
              <w:snapToGrid w:val="false"/>
              <w:ind w:start="-180" w:end="0"/>
              <w:jc w:val="end"/>
              <w:rPr>
                <w:sz w:val="16"/>
              </w:rPr>
            </w:pPr>
            <w:r>
              <w:rPr>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Elizabeth Sager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ECT Legal</w:t>
            </w:r>
          </w:p>
          <w:p>
            <w:pPr>
              <w:pStyle w:val="Department"/>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900" w:hRule="exact"/>
        </w:trPr>
        <w:tc>
          <w:tcPr>
            <w:tcW w:w="708" w:type="dxa"/>
            <w:tcBorders>
              <w:bottom w:val="single" w:sz="18" w:space="0" w:color="000000"/>
            </w:tcBorders>
          </w:tcPr>
          <w:p>
            <w:pPr>
              <w:pStyle w:val="Normal"/>
              <w:spacing w:before="240" w:after="120"/>
              <w:ind w:start="-180" w:end="0"/>
              <w:jc w:val="end"/>
              <w:rPr>
                <w:sz w:val="16"/>
              </w:rPr>
            </w:pPr>
            <w:r>
              <w:rPr>
                <w:sz w:val="16"/>
              </w:rPr>
              <w:t>Subject:</w:t>
            </w:r>
          </w:p>
        </w:tc>
        <w:tc>
          <w:tcPr>
            <w:tcW w:w="6045" w:type="dxa"/>
            <w:tcBorders>
              <w:bottom w:val="single" w:sz="18" w:space="0" w:color="000000"/>
            </w:tcBorders>
          </w:tcPr>
          <w:p>
            <w:pPr>
              <w:pStyle w:val="Subject"/>
              <w:spacing w:before="240" w:after="120"/>
              <w:rPr/>
            </w:pPr>
            <w:r>
              <w:rPr/>
              <w:t>Master Option Purchase Agreement ("MOPA") dated as of December 6, 1995 between Enron Power Marketing, Inc. ("EPMI") and Tennessee Valley Authority ("TVA")</w:t>
            </w:r>
          </w:p>
          <w:p>
            <w:pPr>
              <w:pStyle w:val="Subject"/>
              <w:spacing w:before="240" w:after="120"/>
              <w:rPr/>
            </w:pPr>
            <w:r>
              <w:rPr/>
            </w:r>
          </w:p>
          <w:p>
            <w:pPr>
              <w:pStyle w:val="Subject"/>
              <w:spacing w:before="240" w:after="120"/>
              <w:rPr/>
            </w:pPr>
            <w:r>
              <w:rPr/>
            </w:r>
          </w:p>
          <w:p>
            <w:pPr>
              <w:pStyle w:val="Subject"/>
              <w:spacing w:before="240" w:after="120"/>
              <w:rPr/>
            </w:pPr>
            <w:r>
              <w:rPr/>
            </w:r>
          </w:p>
        </w:tc>
        <w:tc>
          <w:tcPr>
            <w:tcW w:w="990" w:type="dxa"/>
            <w:tcBorders>
              <w:bottom w:val="single" w:sz="18" w:space="0" w:color="000000"/>
            </w:tcBorders>
          </w:tcPr>
          <w:p>
            <w:pPr>
              <w:pStyle w:val="Normal"/>
              <w:spacing w:before="240" w:after="120"/>
              <w:ind w:start="-180" w:end="0"/>
              <w:jc w:val="end"/>
              <w:rPr>
                <w:sz w:val="16"/>
              </w:rPr>
            </w:pPr>
            <w:r>
              <w:rPr>
                <w:sz w:val="16"/>
              </w:rPr>
              <w:t>Date:</w:t>
            </w:r>
          </w:p>
        </w:tc>
        <w:tc>
          <w:tcPr>
            <w:tcW w:w="2965" w:type="dxa"/>
            <w:tcBorders>
              <w:bottom w:val="single" w:sz="18" w:space="0" w:color="000000"/>
            </w:tcBorders>
          </w:tcPr>
          <w:p>
            <w:pPr>
              <w:pStyle w:val="Date"/>
              <w:spacing w:before="240" w:after="120"/>
              <w:rPr/>
            </w:pPr>
            <w:r>
              <w:rPr/>
              <w:fldChar w:fldCharType="begin"/>
            </w:r>
            <w:r>
              <w:rPr/>
              <w:instrText xml:space="preserve"> DATE \@"MMMM\ d', 'yyyy" </w:instrText>
            </w:r>
            <w:r>
              <w:rPr/>
              <w:fldChar w:fldCharType="separate"/>
            </w:r>
            <w:r>
              <w:rPr/>
              <w:t>September 28, 2025</w:t>
            </w:r>
            <w:r>
              <w:rPr/>
              <w:fldChar w:fldCharType="end"/>
            </w:r>
          </w:p>
        </w:tc>
      </w:tr>
    </w:tbl>
    <w:p>
      <w:pPr>
        <w:pStyle w:val="Body"/>
        <w:ind w:start="720" w:end="720"/>
        <w:rPr/>
      </w:pPr>
      <w:r>
        <w:rPr/>
      </w:r>
      <w:bookmarkStart w:id="1" w:name="StartOfMemo"/>
      <w:bookmarkStart w:id="2" w:name="StartOfMemo"/>
      <w:bookmarkEnd w:id="2"/>
    </w:p>
    <w:tbl>
      <w:tblPr>
        <w:tblW w:w="10080" w:type="dxa"/>
        <w:jc w:val="start"/>
        <w:tblInd w:w="198" w:type="dxa"/>
        <w:tblLayout w:type="fixed"/>
        <w:tblCellMar>
          <w:top w:w="0" w:type="dxa"/>
          <w:start w:w="108" w:type="dxa"/>
          <w:bottom w:w="0" w:type="dxa"/>
          <w:end w:w="108" w:type="dxa"/>
        </w:tblCellMar>
      </w:tblPr>
      <w:tblGrid>
        <w:gridCol w:w="2610"/>
        <w:gridCol w:w="7470"/>
      </w:tblGrid>
      <w:tr>
        <w:trPr/>
        <w:tc>
          <w:tcPr>
            <w:tcW w:w="2610" w:type="dxa"/>
            <w:tcBorders/>
          </w:tcPr>
          <w:p>
            <w:pPr>
              <w:pStyle w:val="Body"/>
              <w:tabs>
                <w:tab w:val="left" w:pos="342" w:leader="none"/>
              </w:tabs>
              <w:spacing w:before="120" w:after="0"/>
              <w:ind w:start="0" w:end="0"/>
              <w:rPr/>
            </w:pPr>
            <w:r>
              <w:rPr>
                <w:b/>
                <w:smallCaps/>
              </w:rPr>
              <w:t>A.</w:t>
              <w:tab/>
            </w:r>
            <w:r>
              <w:rPr>
                <w:b/>
                <w:smallCaps/>
                <w:u w:val="single"/>
              </w:rPr>
              <w:t>General</w:t>
            </w:r>
          </w:p>
        </w:tc>
        <w:tc>
          <w:tcPr>
            <w:tcW w:w="7470" w:type="dxa"/>
            <w:tcBorders/>
          </w:tcPr>
          <w:p>
            <w:pPr>
              <w:pStyle w:val="Body"/>
              <w:snapToGrid w:val="false"/>
              <w:spacing w:before="120" w:after="0"/>
              <w:ind w:start="0" w:end="0"/>
              <w:jc w:val="both"/>
              <w:rPr/>
            </w:pPr>
            <w:r>
              <w:rPr/>
            </w:r>
          </w:p>
        </w:tc>
      </w:tr>
      <w:tr>
        <w:trPr/>
        <w:tc>
          <w:tcPr>
            <w:tcW w:w="2610" w:type="dxa"/>
            <w:tcBorders/>
          </w:tcPr>
          <w:p>
            <w:pPr>
              <w:pStyle w:val="Body"/>
              <w:spacing w:before="120" w:after="0"/>
              <w:ind w:start="342" w:end="0"/>
              <w:rPr>
                <w:b/>
              </w:rPr>
            </w:pPr>
            <w:r>
              <w:rPr>
                <w:b/>
              </w:rPr>
              <w:t>Background</w:t>
            </w:r>
          </w:p>
        </w:tc>
        <w:tc>
          <w:tcPr>
            <w:tcW w:w="7470" w:type="dxa"/>
            <w:tcBorders/>
          </w:tcPr>
          <w:p>
            <w:pPr>
              <w:pStyle w:val="Body"/>
              <w:spacing w:before="120" w:after="0"/>
              <w:ind w:start="0" w:end="0"/>
              <w:jc w:val="both"/>
              <w:rPr/>
            </w:pPr>
            <w:r>
              <w:rPr/>
              <w:t>Over the past several months, several issues regarding the rights and obligations of EPMI and TVA under the MOPA have been raised. A copy of TVA's agenda is attached.  The purpose of this memorandum is to address our analysis of EPMI's legal rights and obligations with respect to TVA's issues and is being prepared in anticipation of potential litigation.</w:t>
            </w:r>
          </w:p>
        </w:tc>
      </w:tr>
      <w:tr>
        <w:trPr/>
        <w:tc>
          <w:tcPr>
            <w:tcW w:w="2610" w:type="dxa"/>
            <w:tcBorders/>
          </w:tcPr>
          <w:p>
            <w:pPr>
              <w:pStyle w:val="Body"/>
              <w:spacing w:before="120" w:after="0"/>
              <w:ind w:start="342" w:end="0"/>
              <w:rPr>
                <w:b/>
              </w:rPr>
            </w:pPr>
            <w:r>
              <w:rPr>
                <w:b/>
              </w:rPr>
              <w:t>Dispute resolution</w:t>
            </w:r>
          </w:p>
        </w:tc>
        <w:tc>
          <w:tcPr>
            <w:tcW w:w="7470" w:type="dxa"/>
            <w:tcBorders/>
          </w:tcPr>
          <w:p>
            <w:pPr>
              <w:pStyle w:val="Body"/>
              <w:spacing w:before="120" w:after="0"/>
              <w:ind w:start="0" w:end="0"/>
              <w:jc w:val="both"/>
              <w:rPr/>
            </w:pPr>
            <w:r>
              <w:rPr/>
              <w:t>Section 11.1 of the MOPA contains an arbitration provision for "provisions of this Agreement that specifically require resolution by arbitration . . ."; only a few sections require arbitration, e.g., termination payment calculation (Section 6.1(d)).  Accordingly, most of the disputes will likely be resolved, if not by the parties, then by the courts.  As a note, we will carefully need to consider the possible damages EPMI may incur if EPMI chooses to assert a position with which TVA does not agree and it is subsequently determined to be incorrect.  The MOPA contains cover provisions for nondelivery (Article 3), reduction of owed Demand Charges (Section 3.2(c)), as well as termination of OPA's for unreliability (Section 6.4). See "</w:t>
            </w:r>
            <w:r>
              <w:rPr>
                <w:u w:val="single"/>
              </w:rPr>
              <w:t>Section C Damages</w:t>
            </w:r>
            <w:r>
              <w:rPr/>
              <w:t>" for more details on damages.  The governing laws under the MOPA are "the federal laws of the United States of America" (Section 15.2).  Jurisdiction is either in the U.S. District Court for the Southern District of Texas (if TVA is the plaintiff) or the Eastern District of Tennessee (if EPMI is the plaintiff) (Section 15.2).</w:t>
            </w:r>
          </w:p>
        </w:tc>
      </w:tr>
      <w:tr>
        <w:trPr/>
        <w:tc>
          <w:tcPr>
            <w:tcW w:w="2610" w:type="dxa"/>
            <w:tcBorders/>
          </w:tcPr>
          <w:p>
            <w:pPr>
              <w:pStyle w:val="Body"/>
              <w:spacing w:before="120" w:after="0"/>
              <w:ind w:start="342" w:end="0"/>
              <w:rPr>
                <w:b/>
              </w:rPr>
            </w:pPr>
            <w:r>
              <w:rPr>
                <w:b/>
              </w:rPr>
              <w:t>Operating Committee</w:t>
            </w:r>
          </w:p>
        </w:tc>
        <w:tc>
          <w:tcPr>
            <w:tcW w:w="7470" w:type="dxa"/>
            <w:tcBorders/>
          </w:tcPr>
          <w:p>
            <w:pPr>
              <w:pStyle w:val="Body"/>
              <w:spacing w:before="120" w:after="0"/>
              <w:ind w:start="0" w:end="0"/>
              <w:jc w:val="both"/>
              <w:rPr/>
            </w:pPr>
            <w:r>
              <w:rPr/>
              <w:t xml:space="preserve">Section 7.2 of the MOPA requires EPMI and TVA to develop operating, procedures and an operating committee. </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432" w:end="432"/>
              <w:jc w:val="both"/>
              <w:rPr/>
            </w:pPr>
            <w:r>
              <w:rPr>
                <w:b/>
              </w:rPr>
              <w:t>"Seller and Buyer shall develop jointly written operating procedures no later than the 90</w:t>
            </w:r>
            <w:r>
              <w:rPr>
                <w:b/>
                <w:vertAlign w:val="superscript"/>
              </w:rPr>
              <w:t>th</w:t>
            </w:r>
            <w:r>
              <w:rPr>
                <w:b/>
              </w:rPr>
              <w:t xml:space="preserve"> Day prior to the beginning of the first Seasonal Delivery Period of an Exercised OPA to begin.  Topics covered by the operating procedures shall include, but not be limited to, methods of day-to-day communications, and any key personnel lists for Seller and Buyer.  Seller and Buyer also shall establish an Operating Committee, consisting of two representatives of each Party, which shall meet periodically to oversee and coordinate operational issues arising out of this Agreement and the operating procedures."</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0" w:end="0"/>
              <w:jc w:val="both"/>
              <w:rPr/>
            </w:pPr>
            <w:r>
              <w:rPr/>
              <w:t>Neither party has complied with Section 7.2, and action should be taken to comply with such requirement.</w:t>
            </w:r>
          </w:p>
        </w:tc>
      </w:tr>
      <w:tr>
        <w:trPr/>
        <w:tc>
          <w:tcPr>
            <w:tcW w:w="10080" w:type="dxa"/>
            <w:gridSpan w:val="2"/>
            <w:tcBorders/>
          </w:tcPr>
          <w:p>
            <w:pPr>
              <w:pStyle w:val="Body"/>
              <w:keepNext w:val="true"/>
              <w:tabs>
                <w:tab w:val="left" w:pos="342" w:leader="none"/>
              </w:tabs>
              <w:spacing w:before="120" w:after="0"/>
              <w:ind w:start="0" w:end="0"/>
              <w:jc w:val="both"/>
              <w:rPr/>
            </w:pPr>
            <w:r>
              <w:rPr>
                <w:b/>
                <w:smallCaps/>
              </w:rPr>
              <w:t>B.</w:t>
              <w:tab/>
            </w:r>
            <w:r>
              <w:rPr>
                <w:b/>
                <w:smallCaps/>
                <w:u w:val="single"/>
              </w:rPr>
              <w:t>Discussion of Current Issues Between TVA and EPMI</w:t>
            </w:r>
          </w:p>
        </w:tc>
      </w:tr>
      <w:tr>
        <w:trPr/>
        <w:tc>
          <w:tcPr>
            <w:tcW w:w="2610" w:type="dxa"/>
            <w:tcBorders/>
          </w:tcPr>
          <w:p>
            <w:pPr>
              <w:pStyle w:val="Body"/>
              <w:keepNext w:val="true"/>
              <w:keepLines/>
              <w:spacing w:before="120" w:after="0"/>
              <w:ind w:start="702" w:end="0"/>
              <w:rPr>
                <w:b/>
              </w:rPr>
            </w:pPr>
            <w:r>
              <w:rPr>
                <w:b/>
              </w:rPr>
              <w:t>Issue 1</w:t>
            </w:r>
          </w:p>
        </w:tc>
        <w:tc>
          <w:tcPr>
            <w:tcW w:w="7470" w:type="dxa"/>
            <w:tcBorders/>
          </w:tcPr>
          <w:p>
            <w:pPr>
              <w:pStyle w:val="Body"/>
              <w:keepNext w:val="true"/>
              <w:keepLines/>
              <w:spacing w:before="120" w:after="0"/>
              <w:ind w:start="0" w:end="0"/>
              <w:jc w:val="both"/>
              <w:rPr/>
            </w:pPr>
            <w:r>
              <w:rPr>
                <w:b/>
                <w:u w:val="single"/>
              </w:rPr>
              <w:t>Are the new interconnections built and owned by a wholly-owned subsidiary of ECT (the "Interconnections") considered "Permitted Delivery Points" without prior TVA approval</w:t>
            </w:r>
            <w:r>
              <w:rPr>
                <w:b/>
              </w:rPr>
              <w:t>.</w:t>
            </w:r>
          </w:p>
        </w:tc>
      </w:tr>
      <w:tr>
        <w:trPr/>
        <w:tc>
          <w:tcPr>
            <w:tcW w:w="2610" w:type="dxa"/>
            <w:tcBorders/>
          </w:tcPr>
          <w:p>
            <w:pPr>
              <w:pStyle w:val="Body"/>
              <w:spacing w:before="120" w:after="0"/>
              <w:ind w:start="702" w:end="0"/>
              <w:rPr>
                <w:b/>
              </w:rPr>
            </w:pPr>
            <w:r>
              <w:rPr>
                <w:b/>
              </w:rPr>
              <w:t>Brief Answer 1</w:t>
            </w:r>
          </w:p>
        </w:tc>
        <w:tc>
          <w:tcPr>
            <w:tcW w:w="7470" w:type="dxa"/>
            <w:tcBorders/>
          </w:tcPr>
          <w:p>
            <w:pPr>
              <w:pStyle w:val="Body"/>
              <w:spacing w:before="120" w:after="0"/>
              <w:ind w:start="0" w:end="0"/>
              <w:jc w:val="both"/>
              <w:rPr/>
            </w:pPr>
            <w:r>
              <w:rPr>
                <w:b/>
                <w:i/>
              </w:rPr>
              <w:t>The Interconnections should be considered Permitted Delivery Points ("PDP") under the MOPA and should not require the prior approval of TVA to become a PDP</w:t>
            </w:r>
            <w:r>
              <w:rPr>
                <w:b/>
              </w:rPr>
              <w:t>.</w:t>
            </w:r>
          </w:p>
        </w:tc>
      </w:tr>
      <w:tr>
        <w:trPr/>
        <w:tc>
          <w:tcPr>
            <w:tcW w:w="2610" w:type="dxa"/>
            <w:tcBorders/>
          </w:tcPr>
          <w:p>
            <w:pPr>
              <w:pStyle w:val="Body"/>
              <w:keepNext w:val="true"/>
              <w:keepLines/>
              <w:spacing w:before="120" w:after="0"/>
              <w:ind w:start="1332" w:end="0"/>
              <w:rPr>
                <w:b/>
              </w:rPr>
            </w:pPr>
            <w:r>
              <w:rPr>
                <w:b/>
              </w:rPr>
              <w:t>Analysis</w:t>
            </w:r>
          </w:p>
        </w:tc>
        <w:tc>
          <w:tcPr>
            <w:tcW w:w="7470" w:type="dxa"/>
            <w:tcBorders/>
          </w:tcPr>
          <w:p>
            <w:pPr>
              <w:pStyle w:val="Body"/>
              <w:keepNext w:val="true"/>
              <w:keepLines/>
              <w:spacing w:before="120" w:after="0"/>
              <w:ind w:start="0" w:end="0"/>
              <w:jc w:val="both"/>
              <w:rPr/>
            </w:pPr>
            <w:r>
              <w:rPr/>
              <w:t>Under Article 4 of the MOPA, EPMI is obligated to deliver scheduled energy to Scheduled Delivery Points ("SDP").  Prior to delivering the energy to a SDP, EPMI is required (by noon Thursday the prior week) to notify TVA of the PDP's that EPMI "would expect to designate" as the interfaces at which deliveries would be made and the expected quantities.</w:t>
            </w:r>
            <w:r>
              <w:rPr>
                <w:rStyle w:val="FootnoteCharacters"/>
                <w:rStyle w:val="FootnoteReference"/>
              </w:rPr>
              <w:footnoteReference w:id="2"/>
            </w:r>
            <w:r>
              <w:rPr/>
              <w:t xml:space="preserve">  By noon the Business Day before the Day on which energy is to be delivered, EPMI must send a confirmation to TVA that designates each PDP at which EPMI will deliver "all or a portion" of the scheduled energy (each designated point becoming a SDP) and the instantaneous rate of delivery for the scheduled energy at each SDP.  Accordingly, in order to be eligible as a SDP, a delivery point must first meet the definition of a PDP.</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0" w:end="0"/>
              <w:jc w:val="both"/>
              <w:rPr/>
            </w:pPr>
            <w:r>
              <w:rPr/>
              <w:t xml:space="preserve">Section 4.1(a) of the MOPA defines a "Permitted Delivery Point" as follows: </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792" w:end="0"/>
              <w:jc w:val="both"/>
              <w:rPr>
                <w:b/>
              </w:rPr>
            </w:pPr>
            <w:r>
              <w:rPr>
                <w:b/>
              </w:rPr>
              <w:t>"[A Permitted Delivery Point] is an interface between Buyer's system and the system of another electric utility (an "Interconnecting Utility"), including the interconnections listed on Exhibit 4.1(a)."</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0" w:end="0"/>
              <w:jc w:val="both"/>
              <w:rPr/>
            </w:pPr>
            <w:r>
              <w:rPr/>
              <w:t>After a review of NERC definitions and a discussion with Sam Behrens of LeBeouf Lamb, I believe the Interconnections should be deemed interfaces between Buyer's system and the system of another electric utility.</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0" w:end="0"/>
              <w:jc w:val="both"/>
              <w:rPr/>
            </w:pPr>
            <w:r>
              <w:rPr/>
              <w:t>NERC defines interconnection, interface, system and electric utility as follows:</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432" w:end="0"/>
              <w:jc w:val="both"/>
              <w:rPr/>
            </w:pPr>
            <w:r>
              <w:rPr>
                <w:b/>
              </w:rPr>
              <w:t>Interconnection</w:t>
            </w:r>
            <w:r>
              <w:rPr/>
              <w:t xml:space="preserve"> – When capitalized, any one of the five major electric system networks in North America: Eastern, Western, ERCOT, Quebec, and Alaska.  When not capitalized, the facilities that connect two systems or Control Areas. Additionally, an interconnection refers to the facilities that connect a nonutility generator to a Control Area or system.</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432" w:end="0"/>
              <w:jc w:val="both"/>
              <w:rPr>
                <w:b/>
              </w:rPr>
            </w:pPr>
            <w:r>
              <w:rPr>
                <w:b/>
              </w:rPr>
              <w:t>Interface</w:t>
            </w:r>
            <w:r>
              <w:rPr/>
              <w:t xml:space="preserve"> – The specific set of transmission elements between two areas or between two areas comprising one or more electrical systems.</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432" w:end="0"/>
              <w:jc w:val="both"/>
              <w:rPr>
                <w:b/>
              </w:rPr>
            </w:pPr>
            <w:r>
              <w:rPr>
                <w:b/>
              </w:rPr>
              <w:t>Electric Utility</w:t>
            </w:r>
            <w:r>
              <w:rPr/>
              <w:t xml:space="preserve"> – A corporation, person, agency, authority, or other legal entity or instrumentality that owns or operates facilities for the generation, transmission, distribution, or sale of electric energy primarily for use by the public and is defined as a utility under the statutes and rules by which it is regulated.  Types of Electric Utilities include investor-owned, cooperatively owned, and government-owned (federal agency, crown corporation, state, provincials, municipals, and public power districts).</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432" w:end="0"/>
              <w:jc w:val="both"/>
              <w:rPr>
                <w:b/>
              </w:rPr>
            </w:pPr>
            <w:r>
              <w:rPr>
                <w:b/>
              </w:rPr>
              <w:t>System</w:t>
            </w:r>
            <w:r>
              <w:rPr/>
              <w:t xml:space="preserve"> – An interconnected combination of generation, transmission, and distribution components comprising an electric utility, an electric utility and independent power producer(s) (IPP), or group of utilities and IPP(s).</w:t>
            </w:r>
          </w:p>
        </w:tc>
      </w:tr>
      <w:tr>
        <w:trPr/>
        <w:tc>
          <w:tcPr>
            <w:tcW w:w="2610" w:type="dxa"/>
            <w:tcBorders/>
          </w:tcPr>
          <w:p>
            <w:pPr>
              <w:pStyle w:val="Body"/>
              <w:keepNext w:val="true"/>
              <w:keepLines/>
              <w:snapToGrid w:val="false"/>
              <w:spacing w:before="120" w:after="0"/>
              <w:ind w:start="342" w:end="0"/>
              <w:rPr>
                <w:b/>
              </w:rPr>
            </w:pPr>
            <w:r>
              <w:rPr>
                <w:b/>
              </w:rPr>
            </w:r>
          </w:p>
        </w:tc>
        <w:tc>
          <w:tcPr>
            <w:tcW w:w="7470" w:type="dxa"/>
            <w:tcBorders/>
          </w:tcPr>
          <w:p>
            <w:pPr>
              <w:pStyle w:val="Body"/>
              <w:keepNext w:val="true"/>
              <w:keepLines/>
              <w:spacing w:before="120" w:after="0"/>
              <w:ind w:start="0" w:end="0"/>
              <w:jc w:val="both"/>
              <w:rPr/>
            </w:pPr>
            <w:r>
              <w:rPr/>
              <w:t>The definition of Electric Utility at first review appeared to be problematic because it emphasizes entities involved in the sale of power "for use by the public".  Sam Behrens at Labeouf assured me, however, that EPMI is under many definitions an "electric utility", that cases have held non-retail bearing entities to be considered selling power for use by the public and that the definition was likely intended to exclude only inside the fence generation.</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0" w:end="0"/>
              <w:jc w:val="both"/>
              <w:rPr/>
            </w:pPr>
            <w:r>
              <w:rPr/>
              <w:t>TVA has argued that footnote 2 of Exhibit 4.1(a) requires TVA's approval before a new interface can be considered a PDP.  Footnote 2 of Exhibit 4.1(a) reads as follows:</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612" w:end="432"/>
              <w:jc w:val="both"/>
              <w:rPr>
                <w:b/>
              </w:rPr>
            </w:pPr>
            <w:r>
              <w:rPr>
                <w:b/>
              </w:rPr>
              <w:t>"If new interfaces are constructed between Buyer and another utility, Buyer and Seller shall negotiate in good faith to amend the table above to include those new interfaces and a reasonable amount for them."</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0" w:end="0"/>
              <w:jc w:val="both"/>
              <w:rPr/>
            </w:pPr>
            <w:r>
              <w:rPr/>
              <w:t>TVA's arguments are likely to fail for the following reasons:</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numPr>
                <w:ilvl w:val="0"/>
                <w:numId w:val="4"/>
              </w:numPr>
              <w:spacing w:before="120" w:after="0"/>
              <w:ind w:hanging="270" w:start="702" w:end="0"/>
              <w:jc w:val="both"/>
              <w:rPr/>
            </w:pPr>
            <w:r>
              <w:rPr/>
              <w:t>An ambiguity between Article 4 (the main agreement) and Exhibit 4.1 (an exhibit) will be resolved in favor of Article 4.</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numPr>
                <w:ilvl w:val="0"/>
                <w:numId w:val="4"/>
              </w:numPr>
              <w:spacing w:before="120" w:after="0"/>
              <w:ind w:hanging="270" w:start="702" w:end="0"/>
              <w:jc w:val="both"/>
              <w:rPr/>
            </w:pPr>
            <w:r>
              <w:rPr/>
              <w:t xml:space="preserve">Section 4.1(c) clearly defines a PDP as an "interface . . ., </w:t>
            </w:r>
            <w:r>
              <w:rPr>
                <w:u w:val="single"/>
              </w:rPr>
              <w:t>including the interconnections listed on Exhibit 4.1(a)</w:t>
            </w:r>
            <w:r>
              <w:rPr/>
              <w:t>. Section 1.4 of the MOPA, expressly states that the use of the word "including" means including without limitation.  Moreover, the general definition of a PDP should control over the specific Exhibit.</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numPr>
                <w:ilvl w:val="0"/>
                <w:numId w:val="4"/>
              </w:numPr>
              <w:spacing w:before="120" w:after="0"/>
              <w:ind w:hanging="270" w:start="702" w:end="0"/>
              <w:jc w:val="both"/>
              <w:rPr/>
            </w:pPr>
            <w:r>
              <w:rPr/>
              <w:t>Footnote 2 of Exhibit 4.1(a) can be read consistently with our interpretation – if new interfaces are constructed, then the Exhibit will need to be corrected to add them, if we want TVA to reserve "a reasonable amount for them."  In the instant case, we do not need to ask TVA to reserve a reasonable amount for them since we already have the Interconnection Agreement.</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numPr>
                <w:ilvl w:val="0"/>
                <w:numId w:val="4"/>
              </w:numPr>
              <w:spacing w:before="120" w:after="0"/>
              <w:ind w:hanging="270" w:start="702" w:end="0"/>
              <w:jc w:val="both"/>
              <w:rPr/>
            </w:pPr>
            <w:r>
              <w:rPr/>
              <w:t>The intent of Exhibit 4.1(a) is to set forth the reserved transfer capability at each of the designated points, not to limit the universe of potential PDP's.</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0" w:end="0"/>
              <w:jc w:val="both"/>
              <w:rPr/>
            </w:pPr>
            <w:r>
              <w:rPr/>
              <w:t xml:space="preserve">If EPMI is incorrect and it is determined that TVA's approval is required in order for a delivery point to become a PDP, then EPMI may be liable for damages to TVA.  The worst case damages would arise if TVA claimed it did not receive the energy by not accepting EPMI's schedule.  Under this scenario, EPMI would be liable for cover damages, would forfeit Demand Charges and would be liable for the Termination Payment on terminated OPAs.  A more likely measure of damages, however, would be the cost of the wheel to a PDP set forth on </w:t>
            </w:r>
            <w:r>
              <w:rPr>
                <w:u w:val="single"/>
              </w:rPr>
              <w:t>Exhibit 4.1(a)</w:t>
            </w:r>
            <w:r>
              <w:rPr/>
              <w:t>.  Even if TVA doesn't accept EPMI's schedule, TVA will nevertheless receive the energy for use in its system (unless of course TVA is somehow able to get its transmission group to shut down the interconnection).  Moreover, it is difficult to see how TVA would be injured by not accepting EPMI's new interconnection (in fact, it is my understanding that the new interconnection will benefit TVA's overall system).</w:t>
            </w:r>
          </w:p>
        </w:tc>
      </w:tr>
      <w:tr>
        <w:trPr/>
        <w:tc>
          <w:tcPr>
            <w:tcW w:w="2610" w:type="dxa"/>
            <w:tcBorders/>
          </w:tcPr>
          <w:p>
            <w:pPr>
              <w:pStyle w:val="Body"/>
              <w:spacing w:before="120" w:after="0"/>
              <w:ind w:start="342" w:end="0"/>
              <w:rPr>
                <w:b/>
              </w:rPr>
            </w:pPr>
            <w:r>
              <w:rPr>
                <w:b/>
              </w:rPr>
              <w:t>Issue 2</w:t>
            </w:r>
          </w:p>
        </w:tc>
        <w:tc>
          <w:tcPr>
            <w:tcW w:w="7470" w:type="dxa"/>
            <w:tcBorders/>
          </w:tcPr>
          <w:p>
            <w:pPr>
              <w:pStyle w:val="Body"/>
              <w:spacing w:before="120" w:after="0"/>
              <w:ind w:firstLine="18" w:start="-18" w:end="0"/>
              <w:jc w:val="both"/>
              <w:rPr/>
            </w:pPr>
            <w:r>
              <w:rPr>
                <w:b/>
                <w:u w:val="single"/>
              </w:rPr>
              <w:t>Does EPMI bear the risk of re-delivery if a Scheduled Delivery Point is unavailable due to lack of available transfer capacity ("ATC") on the other side of TVA's interface</w:t>
            </w:r>
            <w:r>
              <w:rPr>
                <w:b/>
              </w:rPr>
              <w:t>.</w:t>
            </w:r>
          </w:p>
        </w:tc>
      </w:tr>
      <w:tr>
        <w:trPr/>
        <w:tc>
          <w:tcPr>
            <w:tcW w:w="2610" w:type="dxa"/>
            <w:tcBorders/>
          </w:tcPr>
          <w:p>
            <w:pPr>
              <w:pStyle w:val="Body"/>
              <w:spacing w:before="120" w:after="0"/>
              <w:ind w:start="342" w:end="0"/>
              <w:rPr>
                <w:b/>
              </w:rPr>
            </w:pPr>
            <w:r>
              <w:rPr>
                <w:b/>
              </w:rPr>
              <w:t>Brief Answer 2</w:t>
            </w:r>
          </w:p>
        </w:tc>
        <w:tc>
          <w:tcPr>
            <w:tcW w:w="7470" w:type="dxa"/>
            <w:tcBorders/>
          </w:tcPr>
          <w:p>
            <w:pPr>
              <w:pStyle w:val="Body"/>
              <w:spacing w:before="120" w:after="0"/>
              <w:ind w:firstLine="18" w:start="-18" w:end="0"/>
              <w:jc w:val="both"/>
              <w:rPr>
                <w:b/>
              </w:rPr>
            </w:pPr>
            <w:r>
              <w:rPr>
                <w:b/>
                <w:i/>
              </w:rPr>
              <w:t>EPMI should not be obligated to deliver the energy to a delivery point other than the originally designated SDP if the SDP is unavailable due to the lack of ATC at the SDP below the amount set forth on Exhibit 4.1(a).</w:t>
            </w:r>
          </w:p>
        </w:tc>
      </w:tr>
      <w:tr>
        <w:trPr/>
        <w:tc>
          <w:tcPr>
            <w:tcW w:w="2610" w:type="dxa"/>
            <w:tcBorders/>
          </w:tcPr>
          <w:p>
            <w:pPr>
              <w:pStyle w:val="Body"/>
              <w:spacing w:before="120" w:after="0"/>
              <w:ind w:start="1242" w:end="0"/>
              <w:rPr>
                <w:b/>
              </w:rPr>
            </w:pPr>
            <w:r>
              <w:rPr>
                <w:b/>
              </w:rPr>
              <w:t>Analysis</w:t>
            </w:r>
          </w:p>
        </w:tc>
        <w:tc>
          <w:tcPr>
            <w:tcW w:w="7470" w:type="dxa"/>
            <w:tcBorders/>
          </w:tcPr>
          <w:p>
            <w:pPr>
              <w:pStyle w:val="Body"/>
              <w:spacing w:before="120" w:after="0"/>
              <w:ind w:start="0" w:end="0"/>
              <w:jc w:val="both"/>
              <w:rPr/>
            </w:pPr>
            <w:r>
              <w:rPr/>
              <w:t>Section 4.3(b) of the MOPA reads as follows:</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432" w:end="522"/>
              <w:jc w:val="both"/>
              <w:rPr>
                <w:b/>
              </w:rPr>
            </w:pPr>
            <w:r>
              <w:rPr>
                <w:b/>
              </w:rPr>
              <w:t>"To the extent that energy scheduled in accordance with Section 2.2(d) for delivery at a Scheduled Delivery Point after application of all the provisions of Section 4.1 is received by the Interconnecting Utility with instructions to make it available to Buyer at that Scheduled Delivery Point, but the energy is not transferred at that Scheduled Delivery Point because the transfer capability at that Scheduled Delivery Point at the time of delivery is less than the amount specified for that Scheduled Delivery Point on Exhibit 4.1(a), subject to the provisions of Section 4.3(c) and (d) and Article 10, then Seller shall be deemed to have delivered that energy and Buyer shall be deemed to have failed to take delivery of that energy."</w:t>
            </w:r>
          </w:p>
        </w:tc>
      </w:tr>
      <w:tr>
        <w:trPr/>
        <w:tc>
          <w:tcPr>
            <w:tcW w:w="2610" w:type="dxa"/>
            <w:tcBorders/>
          </w:tcPr>
          <w:p>
            <w:pPr>
              <w:pStyle w:val="Body"/>
              <w:keepNext w:val="true"/>
              <w:keepLines/>
              <w:snapToGrid w:val="false"/>
              <w:spacing w:before="120" w:after="0"/>
              <w:ind w:start="342" w:end="0"/>
              <w:rPr>
                <w:b/>
              </w:rPr>
            </w:pPr>
            <w:r>
              <w:rPr>
                <w:b/>
              </w:rPr>
            </w:r>
          </w:p>
        </w:tc>
        <w:tc>
          <w:tcPr>
            <w:tcW w:w="7470" w:type="dxa"/>
            <w:tcBorders/>
          </w:tcPr>
          <w:p>
            <w:pPr>
              <w:pStyle w:val="Body"/>
              <w:keepNext w:val="true"/>
              <w:keepLines/>
              <w:spacing w:before="120" w:after="0"/>
              <w:ind w:start="0" w:end="0"/>
              <w:jc w:val="both"/>
              <w:rPr/>
            </w:pPr>
            <w:r>
              <w:rPr/>
              <w:t>This Section transfers the risk of non-delivery due to unavailability of ATC at the SDP (up to the amount specified in Exhibit 4.1(a)).  In order to avail itself of Section 4.3(b), the following conditions must have been satisfied:</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numPr>
                <w:ilvl w:val="0"/>
                <w:numId w:val="2"/>
              </w:numPr>
              <w:spacing w:before="120" w:after="0"/>
              <w:ind w:hanging="270" w:start="702" w:end="0"/>
              <w:jc w:val="both"/>
              <w:rPr/>
            </w:pPr>
            <w:r>
              <w:rPr/>
              <w:t>EPMI must have satisfied the designation of delivery point process in Section 4.1;</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numPr>
                <w:ilvl w:val="0"/>
                <w:numId w:val="2"/>
              </w:numPr>
              <w:spacing w:before="120" w:after="0"/>
              <w:ind w:hanging="270" w:start="702" w:end="0"/>
              <w:jc w:val="both"/>
              <w:rPr/>
            </w:pPr>
            <w:r>
              <w:rPr/>
              <w:t>Scheduled Energy must be received by the Interconnecting Utility with instructions to make it available to Buyer; and</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numPr>
                <w:ilvl w:val="0"/>
                <w:numId w:val="2"/>
              </w:numPr>
              <w:spacing w:before="120" w:after="0"/>
              <w:ind w:hanging="270" w:start="702" w:end="0"/>
              <w:jc w:val="both"/>
              <w:rPr/>
            </w:pPr>
            <w:r>
              <w:rPr/>
              <w:t>EPMI may not otherwise have filled the interface pursuant to Section 4.3(c).</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0" w:end="0"/>
              <w:jc w:val="both"/>
              <w:rPr/>
            </w:pPr>
            <w:r>
              <w:rPr/>
              <w:t>Section 4.3(d) of the MOPA further provides as follows:</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Department"/>
              <w:spacing w:before="120" w:after="0"/>
              <w:ind w:start="432" w:end="432"/>
              <w:jc w:val="both"/>
              <w:rPr>
                <w:b/>
              </w:rPr>
            </w:pPr>
            <w:r>
              <w:rPr>
                <w:b/>
              </w:rPr>
              <w:tab/>
              <w:t>"(d)</w:t>
              <w:tab/>
              <w:t>If at the time of scheduling or during a Scheduled Period, the transfer capability at a Scheduled Delivery Point is reduced due to:</w:t>
            </w:r>
          </w:p>
          <w:p>
            <w:pPr>
              <w:pStyle w:val="Department"/>
              <w:tabs>
                <w:tab w:val="left" w:pos="1062" w:leader="none"/>
                <w:tab w:val="left" w:pos="1512" w:leader="none"/>
              </w:tabs>
              <w:spacing w:before="120" w:after="0"/>
              <w:ind w:start="702" w:end="432"/>
              <w:jc w:val="both"/>
              <w:rPr>
                <w:b/>
              </w:rPr>
            </w:pPr>
            <w:r>
              <w:rPr>
                <w:b/>
              </w:rPr>
              <w:tab/>
              <w:t>(i)</w:t>
              <w:tab/>
              <w:t>one or more Buyer transactions with other persons (excluding transactions resulting from the assignment of OPAs), or</w:t>
            </w:r>
          </w:p>
          <w:p>
            <w:pPr>
              <w:pStyle w:val="Department"/>
              <w:tabs>
                <w:tab w:val="left" w:pos="1062" w:leader="none"/>
                <w:tab w:val="left" w:pos="1512" w:leader="none"/>
              </w:tabs>
              <w:spacing w:before="120" w:after="0"/>
              <w:ind w:start="702" w:end="432"/>
              <w:jc w:val="both"/>
              <w:rPr>
                <w:b/>
              </w:rPr>
            </w:pPr>
            <w:r>
              <w:rPr>
                <w:b/>
              </w:rPr>
              <w:tab/>
              <w:t>(ii)</w:t>
              <w:tab/>
              <w:t>one or more transactions between other persons not parties to this Agreement (excluding transactions resulting from the assignment of OPAs), but only as to the transfer capability at the Scheduled Delivery Point below the amount set forth on Exhibit 4.1(a),</w:t>
            </w:r>
          </w:p>
          <w:p>
            <w:pPr>
              <w:pStyle w:val="Body"/>
              <w:spacing w:before="120" w:after="0"/>
              <w:ind w:start="432" w:end="0"/>
              <w:jc w:val="both"/>
              <w:rPr>
                <w:b/>
              </w:rPr>
            </w:pPr>
            <w:r>
              <w:rPr>
                <w:b/>
              </w:rPr>
              <w:t>then to the extent the conditions in clause (i) and (ii) result in the need to change deliveries to other Permitted Delivery Points, Buyer, at its election, either shall curtail its own transactions with others or shall select one or more of the alternatives provided in Section 4.1(d)."</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0" w:end="0"/>
              <w:jc w:val="both"/>
              <w:rPr/>
            </w:pPr>
            <w:r>
              <w:rPr/>
              <w:t>This section obligates TVA to curtail its transactions or seek an alternate delivery point (at TVA's own expense) pursuant to Section 4.1(d) if the ATC of a SDP is reduced due to third party transactions that impact the ATC at the SDP below the amount set forth in Exhibit 4.1(a). (Section 4.1(d) gives TVA rights to require EPMI to change delivery points.)</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0" w:end="0"/>
              <w:jc w:val="both"/>
              <w:rPr/>
            </w:pPr>
            <w:r>
              <w:rPr/>
              <w:t>The intent to require TVA to keep the interfaces open comes across throughout the MOPA and no provision seems to suggest the alternative. The only minor wrinkle would be in the application of Section 4.3(b) of EPMI having "to give instructions" to the Interconnecting Utility to make energy available and for such energy "to be received" by the Interconnecting Utility.  This fiction doesn't happen.  Notwithstanding the language of Section 4.3(b), however, Section 4.3(c) clearly obligates TVA to make alternate arrangements if the ATC is below the amount set forth on Exhibit 4.1(c).</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keepNext w:val="true"/>
              <w:keepLines/>
              <w:spacing w:before="120" w:after="0"/>
              <w:ind w:start="0" w:end="0"/>
              <w:jc w:val="both"/>
              <w:rPr/>
            </w:pPr>
            <w:r>
              <w:rPr/>
              <w:t>If EPMI does not deliver to an interface because of lack of ATC and neither Party causes such power to be wheeled to another interface, then if EPMI is incorrect on this issue, TVA will have damages for cover, reduction of Demand Charges, and possibly termination of OPAs.  The extent of the damage will depend on the amount of energy not delivered.  If a Party wheels the energy to another delivery point, then the damages will more likely be based on the additional costs to move the energy.</w:t>
            </w:r>
          </w:p>
        </w:tc>
      </w:tr>
      <w:tr>
        <w:trPr/>
        <w:tc>
          <w:tcPr>
            <w:tcW w:w="2610" w:type="dxa"/>
            <w:tcBorders/>
          </w:tcPr>
          <w:p>
            <w:pPr>
              <w:pStyle w:val="Body"/>
              <w:spacing w:before="120" w:after="0"/>
              <w:ind w:start="342" w:end="0"/>
              <w:rPr>
                <w:b/>
              </w:rPr>
            </w:pPr>
            <w:r>
              <w:rPr>
                <w:b/>
              </w:rPr>
              <w:t>Issue 3</w:t>
            </w:r>
          </w:p>
        </w:tc>
        <w:tc>
          <w:tcPr>
            <w:tcW w:w="7470" w:type="dxa"/>
            <w:tcBorders/>
          </w:tcPr>
          <w:p>
            <w:pPr>
              <w:pStyle w:val="Body"/>
              <w:spacing w:before="120" w:after="0"/>
              <w:ind w:start="0" w:end="0"/>
              <w:jc w:val="both"/>
              <w:rPr/>
            </w:pPr>
            <w:r>
              <w:rPr>
                <w:b/>
                <w:u w:val="single"/>
              </w:rPr>
              <w:t>Is EPMI required to "schedule" energy a day-ahead (and therefore not able to use the hourly market to fill delivery obligations)</w:t>
            </w:r>
            <w:r>
              <w:rPr>
                <w:b/>
              </w:rPr>
              <w:t>.</w:t>
            </w:r>
          </w:p>
        </w:tc>
      </w:tr>
      <w:tr>
        <w:trPr/>
        <w:tc>
          <w:tcPr>
            <w:tcW w:w="2610" w:type="dxa"/>
            <w:tcBorders/>
          </w:tcPr>
          <w:p>
            <w:pPr>
              <w:pStyle w:val="Body"/>
              <w:spacing w:before="120" w:after="0"/>
              <w:ind w:start="342" w:end="0"/>
              <w:rPr>
                <w:b/>
              </w:rPr>
            </w:pPr>
            <w:r>
              <w:rPr>
                <w:b/>
              </w:rPr>
              <w:t>Brief Answer 3</w:t>
            </w:r>
          </w:p>
        </w:tc>
        <w:tc>
          <w:tcPr>
            <w:tcW w:w="7470" w:type="dxa"/>
            <w:tcBorders/>
          </w:tcPr>
          <w:p>
            <w:pPr>
              <w:pStyle w:val="Body"/>
              <w:spacing w:before="120" w:after="0"/>
              <w:ind w:start="0" w:end="0"/>
              <w:jc w:val="both"/>
              <w:rPr>
                <w:b/>
              </w:rPr>
            </w:pPr>
            <w:r>
              <w:rPr>
                <w:b/>
                <w:i/>
              </w:rPr>
              <w:t>The MOPA on its face does not address this issue. Certain contractual rights granted to TVA in the MOPA, however, would be unavailable to TVA if EPMI were able to schedule hourly.  Accordingly, there is substantial uncertainty as to whether EPMI can use the hourly market to fill EPMI's delivery obligations.</w:t>
            </w:r>
          </w:p>
        </w:tc>
      </w:tr>
      <w:tr>
        <w:trPr/>
        <w:tc>
          <w:tcPr>
            <w:tcW w:w="2610" w:type="dxa"/>
            <w:tcBorders/>
          </w:tcPr>
          <w:p>
            <w:pPr>
              <w:pStyle w:val="Body"/>
              <w:spacing w:before="120" w:after="0"/>
              <w:ind w:start="1242" w:end="0"/>
              <w:rPr>
                <w:b/>
              </w:rPr>
            </w:pPr>
            <w:r>
              <w:rPr>
                <w:b/>
              </w:rPr>
              <w:t>Analysis</w:t>
            </w:r>
          </w:p>
        </w:tc>
        <w:tc>
          <w:tcPr>
            <w:tcW w:w="7470" w:type="dxa"/>
            <w:tcBorders/>
          </w:tcPr>
          <w:p>
            <w:pPr>
              <w:pStyle w:val="Body"/>
              <w:spacing w:before="120" w:after="0"/>
              <w:ind w:start="0" w:end="0"/>
              <w:jc w:val="both"/>
              <w:rPr>
                <w:b/>
              </w:rPr>
            </w:pPr>
            <w:r>
              <w:rPr/>
              <w:t xml:space="preserve">The MOPA does not use the word "schedule" in the sense with which it is used today.  The act of scheduling is used to describe TVA's notification to EPMI that energy deliveries are being requested.  (See description in Section 2.2(a), 2.2(e), 4.1(a)).  Scheduling is something that happens prior to EPMI's noon notification of the PDP at which EPMI "will deliver all or a portion of the energy </w:t>
            </w:r>
            <w:r>
              <w:rPr>
                <w:u w:val="single"/>
              </w:rPr>
              <w:t>scheduled</w:t>
            </w:r>
            <w:r>
              <w:rPr/>
              <w:t xml:space="preserve"> to be delivered that Day" (Section 4.1(c)(i)).  Article 4 sets forth an elaborate procedure whereby EPMI chooses the SDP's.  Arguably, EPMI could designate the SDP the Business Day before delivery and then source the energy from the hourly market.</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0" w:end="0"/>
              <w:jc w:val="both"/>
              <w:rPr/>
            </w:pPr>
            <w:r>
              <w:rPr/>
              <w:t>Two provisions in the MOPA suggest otherwise.  Section 4.1(d) of the MOPA gives TVA rights to request information from EPMI that is critical to TVA's ability to take delivery of scheduled energy at delivery points other than EPMI's SDP.  Remember that TVA must keep interfaces available or else be at risk for being deemed to have accepted the energy.  To balance this risk, TVA was granted rights that enable it effectively to change the SDP (at TVA's costs) to another delivery point.</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0" w:end="0"/>
              <w:jc w:val="both"/>
              <w:rPr/>
            </w:pPr>
            <w:r>
              <w:rPr/>
              <w:t>Section 4.1(d) reads in its entirety as follows:</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Department"/>
              <w:tabs>
                <w:tab w:val="left" w:pos="1062" w:leader="none"/>
              </w:tabs>
              <w:spacing w:before="120" w:after="0"/>
              <w:ind w:start="432" w:end="432"/>
              <w:jc w:val="both"/>
              <w:rPr>
                <w:b/>
              </w:rPr>
            </w:pPr>
            <w:r>
              <w:rPr>
                <w:b/>
              </w:rPr>
              <w:tab/>
              <w:t>"At or before 1400 Central Time on the Business Day before the Day on which the energy is to be delivered, Seller (if Buyer so requests) shall provide to Buyer, with respect to all or any portion of the energy to be delivered at any Scheduled Delivery Point as specified in the confirmation provided under Section 4.1(c):</w:t>
            </w:r>
          </w:p>
          <w:p>
            <w:pPr>
              <w:pStyle w:val="Department"/>
              <w:tabs>
                <w:tab w:val="left" w:pos="1152" w:leader="none"/>
                <w:tab w:val="left" w:pos="1512" w:leader="none"/>
              </w:tabs>
              <w:spacing w:before="120" w:after="0"/>
              <w:ind w:start="792" w:end="432"/>
              <w:jc w:val="both"/>
              <w:rPr>
                <w:b/>
              </w:rPr>
            </w:pPr>
            <w:r>
              <w:rPr>
                <w:b/>
              </w:rPr>
              <w:tab/>
              <w:t>(i)</w:t>
              <w:tab/>
              <w:t>the price for transmission of the energy from the Interconnecting Utility associated with the Scheduled Delivery Point specified in the confirmation provided under Section 4.1(c) to another location (which need not be a Permitted Delivery Point) that Buyer requests Seller to arrange on Buyer's behalf;</w:t>
            </w:r>
          </w:p>
          <w:p>
            <w:pPr>
              <w:pStyle w:val="Department"/>
              <w:tabs>
                <w:tab w:val="left" w:pos="1152" w:leader="none"/>
                <w:tab w:val="left" w:pos="1512" w:leader="none"/>
              </w:tabs>
              <w:spacing w:before="120" w:after="0"/>
              <w:ind w:start="792" w:end="432"/>
              <w:jc w:val="both"/>
              <w:rPr>
                <w:b/>
              </w:rPr>
            </w:pPr>
            <w:r>
              <w:rPr>
                <w:b/>
              </w:rPr>
              <w:tab/>
              <w:t>(ii)</w:t>
              <w:tab/>
              <w:t>the price per MWH at which Seller would be willing to sell the energy at another location (which need not be a Permitted Delivery Point) rather than the Scheduled Delivery Point specified in the confirmation provided under Section 4.1(c), which price may be not greater than the lowest price at which Seller then is offering to sell next-Day firm energy to third parties in the same quantity, for the same period, and at the same location as Buyer then is requesting; and/or</w:t>
            </w:r>
          </w:p>
          <w:p>
            <w:pPr>
              <w:pStyle w:val="Department"/>
              <w:tabs>
                <w:tab w:val="left" w:pos="1152" w:leader="none"/>
                <w:tab w:val="left" w:pos="1512" w:leader="none"/>
              </w:tabs>
              <w:spacing w:before="120" w:after="0"/>
              <w:ind w:start="792" w:end="432"/>
              <w:jc w:val="both"/>
              <w:rPr>
                <w:b/>
              </w:rPr>
            </w:pPr>
            <w:r>
              <w:rPr>
                <w:b/>
              </w:rPr>
              <w:tab/>
              <w:t>(iii)</w:t>
              <w:tab/>
              <w:t>the location(s) in the transmission path from Seller's source to (but before) the Scheduled Delivery Point (including at the point at which the Interconnecting Utility would receive the energy) at which Seller would be able to deliver the energy to Buyer or to another person arranged by Buyer.</w:t>
            </w:r>
          </w:p>
          <w:p>
            <w:pPr>
              <w:pStyle w:val="Body"/>
              <w:tabs>
                <w:tab w:val="left" w:pos="1062" w:leader="none"/>
              </w:tabs>
              <w:spacing w:before="120" w:after="0"/>
              <w:ind w:start="432" w:end="432"/>
              <w:jc w:val="both"/>
              <w:rPr>
                <w:b/>
              </w:rPr>
            </w:pPr>
            <w:r>
              <w:rPr>
                <w:b/>
              </w:rPr>
              <w:t>Seller shall respond to any such request by telephone promptly (but no later than 1500 Central Time on the Business Day before the Day on which the energy is to be delivered) and shall indicate how long (which must be as long as is commercially reasonable at the time) Buyer has to agree to any such alternative prices or locations."</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0" w:end="0"/>
              <w:jc w:val="both"/>
              <w:rPr/>
            </w:pPr>
            <w:r>
              <w:rPr/>
              <w:t xml:space="preserve">Section 4.3(d)(iii) requires EPMI to notify TVA of "the location(s)" in the transmission path </w:t>
            </w:r>
            <w:r>
              <w:rPr>
                <w:u w:val="single"/>
              </w:rPr>
              <w:t>from Seller's source</w:t>
            </w:r>
            <w:r>
              <w:rPr/>
              <w:t xml:space="preserve"> (but before) the SDP . . ."  If EPMI doesn't have a source by 1400 CT on the Business Day before, EPMI can not provide locations.  Arguably, EPMI could assert that this clearly also states that it doesn't have to give </w:t>
            </w:r>
            <w:r>
              <w:rPr>
                <w:u w:val="single"/>
              </w:rPr>
              <w:t>the source</w:t>
            </w:r>
            <w:r>
              <w:rPr/>
              <w:t xml:space="preserve"> since the language highlights it is "</w:t>
            </w:r>
            <w:r>
              <w:rPr>
                <w:u w:val="single"/>
              </w:rPr>
              <w:t>from</w:t>
            </w:r>
            <w:r>
              <w:rPr/>
              <w:t>" the source.  Similarly, EPMI could argue that it will give the locations, if asked, but that for the portion served from the hourly market the set of "location(s)" is zero, a null set.</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0" w:end="0"/>
              <w:jc w:val="both"/>
              <w:rPr/>
            </w:pPr>
            <w:r>
              <w:rPr/>
              <w:t>Section 4.3(d)(ii) requires EPMI to provide TVA a price at which it would be willing to sell the energy at another location.  Again, this is conceivably an important right to TVA because this may be the only way TVA can avoid not being charged for energy it cannot receive.  The price quoted by EPMI may be a price "no greater than the lowest price at which Seller then is offering to sell next-Day firm energy . . ."  This language suggests that the energy being sold is next-Day firm.  This provision, however, also helps EPMI's argument for Section 4.3(d)(iii) inasmuch as this set of answers by EPMI almost always will be zero-EPMI will not generally then be able to quote a price since the market usually closes well before 1400 CT.</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0" w:end="0"/>
              <w:jc w:val="both"/>
              <w:rPr/>
            </w:pPr>
            <w:r>
              <w:rPr/>
              <w:t>If EPMI uses the hourly market to fill its schedule with TVA, it is hard to identify how TVA will be injured since TVA will have the use of the energy regardless.  TVA's damages would likely be based on the direct damages it claims it suffered as a result of being unable to move the energy to another delivery point as permitted pursuant to Section 4.1(d) and/or administrative costs.  Alternatively, TVA again could claim it did not receive the energy and claim cover damages, non-payment of Demand Charges and/or termination of OPAs.</w:t>
            </w:r>
          </w:p>
        </w:tc>
      </w:tr>
      <w:tr>
        <w:trPr/>
        <w:tc>
          <w:tcPr>
            <w:tcW w:w="2610" w:type="dxa"/>
            <w:tcBorders/>
          </w:tcPr>
          <w:p>
            <w:pPr>
              <w:pStyle w:val="Body"/>
              <w:spacing w:before="120" w:after="0"/>
              <w:ind w:start="342" w:end="0"/>
              <w:rPr>
                <w:b/>
              </w:rPr>
            </w:pPr>
            <w:r>
              <w:rPr>
                <w:b/>
              </w:rPr>
              <w:t>Issue 4</w:t>
            </w:r>
          </w:p>
        </w:tc>
        <w:tc>
          <w:tcPr>
            <w:tcW w:w="7470" w:type="dxa"/>
            <w:tcBorders/>
          </w:tcPr>
          <w:p>
            <w:pPr>
              <w:pStyle w:val="Body"/>
              <w:spacing w:before="120" w:after="0"/>
              <w:ind w:start="0" w:end="0"/>
              <w:jc w:val="both"/>
              <w:rPr/>
            </w:pPr>
            <w:r>
              <w:rPr>
                <w:b/>
                <w:u w:val="single"/>
              </w:rPr>
              <w:t>Can EPMI use interface capacity in excess of amounts specified in Exhibit 4.1(a)</w:t>
            </w:r>
            <w:r>
              <w:rPr>
                <w:b/>
              </w:rPr>
              <w:t>.</w:t>
            </w:r>
          </w:p>
        </w:tc>
      </w:tr>
      <w:tr>
        <w:trPr/>
        <w:tc>
          <w:tcPr>
            <w:tcW w:w="2610" w:type="dxa"/>
            <w:tcBorders/>
          </w:tcPr>
          <w:p>
            <w:pPr>
              <w:pStyle w:val="Body"/>
              <w:spacing w:before="120" w:after="0"/>
              <w:ind w:start="342" w:end="0"/>
              <w:rPr>
                <w:b/>
              </w:rPr>
            </w:pPr>
            <w:r>
              <w:rPr>
                <w:b/>
              </w:rPr>
              <w:t>Brief Answer 4</w:t>
            </w:r>
          </w:p>
        </w:tc>
        <w:tc>
          <w:tcPr>
            <w:tcW w:w="7470" w:type="dxa"/>
            <w:tcBorders/>
          </w:tcPr>
          <w:p>
            <w:pPr>
              <w:pStyle w:val="Body"/>
              <w:spacing w:before="120" w:after="0"/>
              <w:ind w:start="0" w:end="0"/>
              <w:jc w:val="both"/>
              <w:rPr/>
            </w:pPr>
            <w:r>
              <w:rPr>
                <w:b/>
                <w:i/>
              </w:rPr>
              <w:t>EPMI may not use ATC in excess of the amounts set forth on Exhibit 4.1(a) unless TVA otherwise agrees.  Moreover, if TVA does agree to permit EPMI to use capacity in excess of such amounts, TVA arguably has the right to withdraw such consent at any time</w:t>
            </w:r>
            <w:r>
              <w:rPr>
                <w:b/>
              </w:rPr>
              <w:t>.</w:t>
            </w:r>
          </w:p>
        </w:tc>
      </w:tr>
      <w:tr>
        <w:trPr/>
        <w:tc>
          <w:tcPr>
            <w:tcW w:w="2610" w:type="dxa"/>
            <w:tcBorders/>
          </w:tcPr>
          <w:p>
            <w:pPr>
              <w:pStyle w:val="Body"/>
              <w:spacing w:before="120" w:after="0"/>
              <w:ind w:start="1242" w:end="0"/>
              <w:rPr>
                <w:b/>
              </w:rPr>
            </w:pPr>
            <w:r>
              <w:rPr>
                <w:b/>
              </w:rPr>
              <w:t>Analysis</w:t>
            </w:r>
          </w:p>
        </w:tc>
        <w:tc>
          <w:tcPr>
            <w:tcW w:w="7470" w:type="dxa"/>
            <w:tcBorders/>
          </w:tcPr>
          <w:p>
            <w:pPr>
              <w:pStyle w:val="Body"/>
              <w:spacing w:before="120" w:after="0"/>
              <w:ind w:start="0" w:end="0"/>
              <w:jc w:val="both"/>
              <w:rPr/>
            </w:pPr>
            <w:r>
              <w:rPr/>
              <w:t>Section 4.1(c) of the MOPA clearly limits EPMI's rights to use SDP in excess of the amounts designated in Exhibit 4.1(c).  Section 4.1(c) reads as follows:</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252" w:end="0"/>
              <w:jc w:val="both"/>
              <w:rPr>
                <w:b/>
              </w:rPr>
            </w:pPr>
            <w:r>
              <w:rPr>
                <w:b/>
              </w:rPr>
              <w:t>"The instantaneous rate of delivery of energy at any time at any Scheduled Delivery Point as designated in the confirmation may exceed the amount set forth for that Scheduled Delivery Point on Exhibit 4.1(a) only with the consent of Buyer."</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0" w:end="0"/>
              <w:jc w:val="both"/>
              <w:rPr/>
            </w:pPr>
            <w:r>
              <w:rPr/>
              <w:t>Moreover, the provisions of Section 4.3(c)(ii) of the MOPA may operate so as to enable TVA to require EPMI to change deliveries even after TVA has consented to the increased deliveries.</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0" w:end="0"/>
              <w:jc w:val="both"/>
              <w:rPr/>
            </w:pPr>
            <w:r>
              <w:rPr/>
              <w:t>Section 4.3(c) reads in its entirety as follows:</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Department"/>
              <w:tabs>
                <w:tab w:val="left" w:pos="702" w:leader="none"/>
                <w:tab w:val="left" w:pos="1062" w:leader="none"/>
              </w:tabs>
              <w:spacing w:before="120" w:after="0"/>
              <w:ind w:start="432" w:end="432"/>
              <w:jc w:val="both"/>
              <w:rPr>
                <w:b/>
              </w:rPr>
            </w:pPr>
            <w:r>
              <w:rPr>
                <w:b/>
              </w:rPr>
              <w:tab/>
              <w:t>"(c)</w:t>
              <w:tab/>
              <w:t>If at the time of scheduling or during a Scheduled Period, the transfer capability at a Scheduled Delivery Point is reduced due to:</w:t>
            </w:r>
          </w:p>
          <w:p>
            <w:pPr>
              <w:pStyle w:val="Department"/>
              <w:tabs>
                <w:tab w:val="left" w:pos="702" w:leader="none"/>
                <w:tab w:val="left" w:pos="1062" w:leader="none"/>
              </w:tabs>
              <w:spacing w:before="120" w:after="0"/>
              <w:ind w:start="702" w:end="432"/>
              <w:jc w:val="both"/>
              <w:rPr>
                <w:b/>
              </w:rPr>
            </w:pPr>
            <w:r>
              <w:rPr>
                <w:b/>
              </w:rPr>
              <w:tab/>
              <w:t>(i)</w:t>
              <w:tab/>
              <w:t>one or more Seller transactions with other persons (excluding transactions resulting from the assignment of OPAs), or</w:t>
            </w:r>
          </w:p>
          <w:p>
            <w:pPr>
              <w:pStyle w:val="Department"/>
              <w:tabs>
                <w:tab w:val="left" w:pos="702" w:leader="none"/>
                <w:tab w:val="left" w:pos="1062" w:leader="none"/>
              </w:tabs>
              <w:spacing w:before="120" w:after="0"/>
              <w:ind w:start="702" w:end="432"/>
              <w:jc w:val="both"/>
              <w:rPr>
                <w:b/>
              </w:rPr>
            </w:pPr>
            <w:r>
              <w:rPr>
                <w:b/>
              </w:rPr>
              <w:tab/>
              <w:t>(ii)</w:t>
              <w:tab/>
              <w:t>one or more transactions between other persons not parties to this Agreement (excluding transactions resulting from the assignment of OPAs), but only as to the transfer capability at the Scheduled Delivery Point above the amount set forth on Exhibit 4.1(a) that Buyer previously consented to permit Seller to use,</w:t>
            </w:r>
          </w:p>
          <w:p>
            <w:pPr>
              <w:pStyle w:val="Body"/>
              <w:tabs>
                <w:tab w:val="left" w:pos="702" w:leader="none"/>
                <w:tab w:val="left" w:pos="1062" w:leader="none"/>
              </w:tabs>
              <w:spacing w:before="120" w:after="0"/>
              <w:ind w:start="432" w:end="432"/>
              <w:jc w:val="both"/>
              <w:rPr>
                <w:b/>
              </w:rPr>
            </w:pPr>
            <w:r>
              <w:rPr>
                <w:b/>
              </w:rPr>
              <w:t>then to the extent the conditions in clause (i) or (ii) result in the need to change deliveries to other Permitted Delivery Points, Seller shall do so at a no additional cost to Buyer."</w:t>
            </w:r>
          </w:p>
        </w:tc>
      </w:tr>
      <w:tr>
        <w:trPr/>
        <w:tc>
          <w:tcPr>
            <w:tcW w:w="2610" w:type="dxa"/>
            <w:tcBorders/>
          </w:tcPr>
          <w:p>
            <w:pPr>
              <w:pStyle w:val="Body"/>
              <w:spacing w:before="120" w:after="0"/>
              <w:ind w:start="342" w:end="0"/>
              <w:rPr>
                <w:b/>
              </w:rPr>
            </w:pPr>
            <w:r>
              <w:rPr>
                <w:b/>
              </w:rPr>
              <w:t>Issue 5</w:t>
            </w:r>
          </w:p>
        </w:tc>
        <w:tc>
          <w:tcPr>
            <w:tcW w:w="7470" w:type="dxa"/>
            <w:tcBorders/>
          </w:tcPr>
          <w:p>
            <w:pPr>
              <w:pStyle w:val="Body"/>
              <w:spacing w:before="120" w:after="0"/>
              <w:ind w:firstLine="18" w:start="-18" w:end="0"/>
              <w:jc w:val="both"/>
              <w:rPr/>
            </w:pPr>
            <w:r>
              <w:rPr>
                <w:b/>
                <w:u w:val="single"/>
              </w:rPr>
              <w:t>NERC scheduling requirements (e.g. tagging information)</w:t>
            </w:r>
            <w:r>
              <w:rPr>
                <w:b/>
              </w:rPr>
              <w:t>.</w:t>
            </w:r>
          </w:p>
        </w:tc>
      </w:tr>
      <w:tr>
        <w:trPr/>
        <w:tc>
          <w:tcPr>
            <w:tcW w:w="2610" w:type="dxa"/>
            <w:tcBorders/>
          </w:tcPr>
          <w:p>
            <w:pPr>
              <w:pStyle w:val="Body"/>
              <w:spacing w:before="120" w:after="0"/>
              <w:ind w:start="342" w:end="0"/>
              <w:rPr>
                <w:b/>
              </w:rPr>
            </w:pPr>
            <w:r>
              <w:rPr>
                <w:b/>
              </w:rPr>
              <w:t>Brief Answer 5</w:t>
            </w:r>
          </w:p>
        </w:tc>
        <w:tc>
          <w:tcPr>
            <w:tcW w:w="7470" w:type="dxa"/>
            <w:tcBorders/>
          </w:tcPr>
          <w:p>
            <w:pPr>
              <w:pStyle w:val="Body"/>
              <w:spacing w:before="120" w:after="0"/>
              <w:ind w:firstLine="18" w:start="-18" w:end="0"/>
              <w:jc w:val="both"/>
              <w:rPr>
                <w:b/>
              </w:rPr>
            </w:pPr>
            <w:r>
              <w:rPr>
                <w:b/>
                <w:i/>
              </w:rPr>
              <w:t>I spoke with John Berger of EPMI. He is uncertain as to what this issue is</w:t>
            </w:r>
            <w:r>
              <w:rPr>
                <w:b/>
              </w:rPr>
              <w:t xml:space="preserve">.  </w:t>
            </w:r>
            <w:r>
              <w:rPr>
                <w:b/>
                <w:i/>
              </w:rPr>
              <w:t>Sandy Katine of TVA told me these issues will involve understanding the intricacies of TVA's transmission system.</w:t>
            </w:r>
          </w:p>
        </w:tc>
      </w:tr>
      <w:tr>
        <w:trPr/>
        <w:tc>
          <w:tcPr>
            <w:tcW w:w="2610" w:type="dxa"/>
            <w:tcBorders/>
          </w:tcPr>
          <w:p>
            <w:pPr>
              <w:pStyle w:val="Body"/>
              <w:spacing w:before="240" w:after="120"/>
              <w:ind w:start="0" w:end="0"/>
              <w:rPr>
                <w:b/>
              </w:rPr>
            </w:pPr>
            <w:r>
              <w:rPr>
                <w:b/>
                <w:smallCaps/>
              </w:rPr>
              <w:t>C.</w:t>
              <w:tab/>
            </w:r>
            <w:r>
              <w:rPr>
                <w:b/>
                <w:smallCaps/>
                <w:u w:val="single"/>
              </w:rPr>
              <w:t>Damages</w:t>
            </w:r>
          </w:p>
        </w:tc>
        <w:tc>
          <w:tcPr>
            <w:tcW w:w="7470" w:type="dxa"/>
            <w:tcBorders/>
          </w:tcPr>
          <w:p>
            <w:pPr>
              <w:pStyle w:val="Body"/>
              <w:snapToGrid w:val="false"/>
              <w:spacing w:before="240" w:after="120"/>
              <w:ind w:start="0" w:end="0"/>
              <w:jc w:val="both"/>
              <w:rPr>
                <w:b/>
              </w:rPr>
            </w:pPr>
            <w:r>
              <w:rPr>
                <w:b/>
              </w:rPr>
            </w:r>
          </w:p>
        </w:tc>
      </w:tr>
      <w:tr>
        <w:trPr/>
        <w:tc>
          <w:tcPr>
            <w:tcW w:w="2610" w:type="dxa"/>
            <w:tcBorders/>
          </w:tcPr>
          <w:p>
            <w:pPr>
              <w:pStyle w:val="Body"/>
              <w:spacing w:before="120" w:after="0"/>
              <w:ind w:start="342" w:end="0"/>
              <w:rPr>
                <w:b/>
              </w:rPr>
            </w:pPr>
            <w:r>
              <w:rPr>
                <w:b/>
              </w:rPr>
              <w:t>Buyer Failure</w:t>
            </w:r>
          </w:p>
        </w:tc>
        <w:tc>
          <w:tcPr>
            <w:tcW w:w="7470" w:type="dxa"/>
            <w:tcBorders/>
          </w:tcPr>
          <w:p>
            <w:pPr>
              <w:pStyle w:val="Body"/>
              <w:spacing w:before="120" w:after="0"/>
              <w:ind w:firstLine="18" w:start="-18" w:end="0"/>
              <w:jc w:val="both"/>
              <w:rPr/>
            </w:pPr>
            <w:r>
              <w:rPr/>
              <w:t>Section 3.1 of the MOPA provides as follows:</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firstLine="18" w:start="432" w:end="0"/>
              <w:jc w:val="both"/>
              <w:rPr>
                <w:b/>
              </w:rPr>
            </w:pPr>
            <w:r>
              <w:rPr>
                <w:b/>
              </w:rPr>
              <w:t>"If Buyer fails to take delivery of all or part of the Contract Quantity for any Scheduled Period (unless the failure is excused under Article 10, is an Agreed Interruption, or is caused by Seller) or if Buyer notifies Seller under Section 4.1(e) that it will not take those deliveries, then Buyer shall pay Seller, on the date payments for the month in which that Scheduled Period occurs are due to Seller under Article 8, in addition to the payments due under Article 8, an amount equal to:</w:t>
            </w:r>
          </w:p>
        </w:tc>
      </w:tr>
      <w:tr>
        <w:trPr/>
        <w:tc>
          <w:tcPr>
            <w:tcW w:w="2610" w:type="dxa"/>
            <w:tcBorders/>
          </w:tcPr>
          <w:p>
            <w:pPr>
              <w:pStyle w:val="Body"/>
              <w:keepNext w:val="true"/>
              <w:keepLines/>
              <w:snapToGrid w:val="false"/>
              <w:spacing w:before="120" w:after="0"/>
              <w:ind w:start="342" w:end="0"/>
              <w:rPr>
                <w:b/>
              </w:rPr>
            </w:pPr>
            <w:r>
              <w:rPr>
                <w:b/>
              </w:rPr>
            </w:r>
          </w:p>
        </w:tc>
        <w:tc>
          <w:tcPr>
            <w:tcW w:w="7470" w:type="dxa"/>
            <w:tcBorders/>
          </w:tcPr>
          <w:p>
            <w:pPr>
              <w:pStyle w:val="Body"/>
              <w:keepNext w:val="true"/>
              <w:keepLines/>
              <w:spacing w:before="120" w:after="0"/>
              <w:ind w:hanging="522" w:start="1512" w:end="0"/>
              <w:jc w:val="both"/>
              <w:rPr>
                <w:b/>
              </w:rPr>
            </w:pPr>
            <w:r>
              <w:rPr>
                <w:b/>
              </w:rPr>
              <w:t>(a)</w:t>
              <w:tab/>
              <w:t>the amount of energy not so taken, expressed in MWH,</w:t>
            </w:r>
          </w:p>
          <w:p>
            <w:pPr>
              <w:pStyle w:val="Body"/>
              <w:keepNext w:val="true"/>
              <w:keepLines/>
              <w:spacing w:before="120" w:after="0"/>
              <w:ind w:firstLine="18" w:start="432" w:end="0"/>
              <w:jc w:val="both"/>
              <w:rPr>
                <w:b/>
              </w:rPr>
            </w:pPr>
            <w:r>
              <w:rPr>
                <w:b/>
              </w:rPr>
              <w:t>multiplied by</w:t>
            </w:r>
          </w:p>
          <w:p>
            <w:pPr>
              <w:pStyle w:val="Body"/>
              <w:keepNext w:val="true"/>
              <w:keepLines/>
              <w:spacing w:before="120" w:after="0"/>
              <w:ind w:hanging="522" w:start="1512" w:end="0"/>
              <w:jc w:val="both"/>
              <w:rPr>
                <w:b/>
              </w:rPr>
            </w:pPr>
            <w:r>
              <w:rPr>
                <w:b/>
              </w:rPr>
              <w:t>(b)</w:t>
              <w:tab/>
              <w:t>the excess, if any, of the Energy Charge for OPAs for that Scheduled Period over the price (expressed in $/MWH) at which Seller was, or using commercially reasonable efforts should have been, able to sell or otherwise dispose of the energy not so taken at a commercially reasonable price (adjusted to reflect differences in transmission costs, if any)."</w:t>
            </w:r>
          </w:p>
        </w:tc>
      </w:tr>
      <w:tr>
        <w:trPr/>
        <w:tc>
          <w:tcPr>
            <w:tcW w:w="2610" w:type="dxa"/>
            <w:tcBorders/>
          </w:tcPr>
          <w:p>
            <w:pPr>
              <w:pStyle w:val="Body"/>
              <w:spacing w:before="120" w:after="0"/>
              <w:ind w:start="342" w:end="0"/>
              <w:rPr>
                <w:b/>
              </w:rPr>
            </w:pPr>
            <w:r>
              <w:rPr>
                <w:b/>
              </w:rPr>
              <w:t>Seller Failure:</w:t>
            </w:r>
          </w:p>
        </w:tc>
        <w:tc>
          <w:tcPr>
            <w:tcW w:w="7470" w:type="dxa"/>
            <w:tcBorders/>
          </w:tcPr>
          <w:p>
            <w:pPr>
              <w:pStyle w:val="Body"/>
              <w:spacing w:before="120" w:after="0"/>
              <w:ind w:firstLine="18" w:start="-18" w:end="0"/>
              <w:jc w:val="both"/>
              <w:rPr/>
            </w:pPr>
            <w:r>
              <w:rPr/>
              <w:t>Section 3.2(a) of the MOPA provides as follows:</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firstLine="18" w:start="432" w:end="0"/>
              <w:jc w:val="both"/>
              <w:rPr>
                <w:b/>
              </w:rPr>
            </w:pPr>
            <w:r>
              <w:rPr>
                <w:b/>
              </w:rPr>
              <w:t>"If Seller fails to deliver all or part of the Contract Quantity for any Scheduled Period (unless the failure is excused under Article 10, is an Agreed Interruption, or is caused by Buyer), then Seller shall pay Buyer, on the date payment for the month in which that Scheduled Period occurs are due to Seller under Article 8, an amount equal to:</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hanging="432" w:start="1962" w:end="0"/>
              <w:jc w:val="both"/>
              <w:rPr>
                <w:b/>
              </w:rPr>
            </w:pPr>
            <w:r>
              <w:rPr>
                <w:b/>
              </w:rPr>
              <w:t>(i)</w:t>
              <w:tab/>
              <w:t>the amount of energy Seller so failed to deliver, expressed in MWH,</w:t>
            </w:r>
          </w:p>
          <w:p>
            <w:pPr>
              <w:pStyle w:val="Body"/>
              <w:spacing w:before="120" w:after="0"/>
              <w:ind w:firstLine="18" w:start="432" w:end="0"/>
              <w:jc w:val="both"/>
              <w:rPr>
                <w:b/>
              </w:rPr>
            </w:pPr>
            <w:r>
              <w:rPr>
                <w:b/>
              </w:rPr>
              <w:t>multiplied by</w:t>
            </w:r>
          </w:p>
          <w:p>
            <w:pPr>
              <w:pStyle w:val="Body"/>
              <w:spacing w:before="120" w:after="0"/>
              <w:ind w:hanging="432" w:start="1962" w:end="0"/>
              <w:jc w:val="both"/>
              <w:rPr>
                <w:b/>
              </w:rPr>
            </w:pPr>
            <w:r>
              <w:rPr>
                <w:b/>
              </w:rPr>
              <w:t>(ii)</w:t>
              <w:tab/>
              <w:t>the excess, if any, of the price (expressed in $/MWH) at which Buyer was, or using commercially reasonable efforts should have been, able to purchase or otherwise acquire (including, if applicable, the cost of generating the energy itself) the energy Seller so failed to deliver at a commercially reasonable price (adjusted to reflect differences in transmission costs, if any) over the Energy Charge for OPAs for that Scheduled Period;</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firstLine="18" w:start="432" w:end="0"/>
              <w:jc w:val="both"/>
              <w:rPr/>
            </w:pPr>
            <w:r>
              <w:rPr/>
              <w:t>provided, however, that to the extent Buyer is unable, after commercially reasonable efforts, to replace the undelivered energy at a reasonable cost, whether by purchase or generation at its own facilities, Seller instead shall pay Buyer an amount equal to the loss in Buyer's margin associated with the curtailment of Buyer's system load (meaning revenues that would have been received on account of the curtailed load less the energy charges that would have been due to Seller had the energy been delivered) not to exceed $60.00 per MWH of curtailed load."</w:t>
            </w:r>
          </w:p>
        </w:tc>
      </w:tr>
      <w:tr>
        <w:trPr/>
        <w:tc>
          <w:tcPr>
            <w:tcW w:w="2610" w:type="dxa"/>
            <w:tcBorders/>
          </w:tcPr>
          <w:p>
            <w:pPr>
              <w:pStyle w:val="Body"/>
              <w:spacing w:before="120" w:after="0"/>
              <w:ind w:start="342" w:end="0"/>
              <w:rPr>
                <w:b/>
              </w:rPr>
            </w:pPr>
            <w:r>
              <w:rPr>
                <w:b/>
              </w:rPr>
              <w:t>Reduction of</w:t>
            </w:r>
          </w:p>
          <w:p>
            <w:pPr>
              <w:pStyle w:val="Body"/>
              <w:ind w:start="346" w:end="0"/>
              <w:rPr>
                <w:b/>
              </w:rPr>
            </w:pPr>
            <w:r>
              <w:rPr>
                <w:b/>
              </w:rPr>
              <w:t>Demand Charges:</w:t>
            </w:r>
          </w:p>
        </w:tc>
        <w:tc>
          <w:tcPr>
            <w:tcW w:w="7470" w:type="dxa"/>
            <w:tcBorders/>
          </w:tcPr>
          <w:p>
            <w:pPr>
              <w:pStyle w:val="Body"/>
              <w:snapToGrid w:val="false"/>
              <w:spacing w:before="120" w:after="0"/>
              <w:ind w:firstLine="18" w:start="-108" w:end="0"/>
              <w:jc w:val="both"/>
              <w:rPr>
                <w:b/>
              </w:rPr>
            </w:pPr>
            <w:r>
              <w:rPr>
                <w:b/>
              </w:rPr>
            </w:r>
          </w:p>
          <w:p>
            <w:pPr>
              <w:pStyle w:val="Body"/>
              <w:ind w:firstLine="14" w:start="-115" w:end="0"/>
              <w:jc w:val="both"/>
              <w:rPr/>
            </w:pPr>
            <w:r>
              <w:rPr/>
              <w:t>Section 3.2(c) of the MOPA provides as follows:</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firstLine="18" w:start="432" w:end="0"/>
              <w:jc w:val="both"/>
              <w:rPr>
                <w:b/>
              </w:rPr>
            </w:pPr>
            <w:r>
              <w:rPr>
                <w:b/>
              </w:rPr>
              <w:t>"If Seller fails during any Scheduled Period to deliver energy at the rate at which the delivery of energy has been scheduled in accordance with Section 2.2 (unless the failure is excused under Article 10, is an Agreed Interruption, is caused by Buyer, or is a Seller Firm Temporary Interruption, with the energy not so delivered due to the circumstances described within these parentheses being called "Excluded Deliveries"), then the aggregate amount due on account of the Demand Charges for all Exercised OPAs for the month in which that Scheduled Period occurs shall be reduced by the result of the following equation:</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firstLine="18" w:start="2772" w:end="0"/>
              <w:jc w:val="both"/>
              <w:rPr>
                <w:b/>
              </w:rPr>
            </w:pPr>
            <w:r>
              <w:rPr>
                <w:b/>
                <w:u w:val="single"/>
              </w:rPr>
              <w:t>DC</w:t>
            </w:r>
            <w:r>
              <w:rPr>
                <w:b/>
                <w:vertAlign w:val="subscript"/>
              </w:rPr>
              <w:t>1</w:t>
            </w:r>
            <w:r>
              <w:rPr>
                <w:b/>
              </w:rPr>
              <w:t xml:space="preserve">  x  DR</w:t>
            </w:r>
            <w:r>
              <w:rPr>
                <w:b/>
                <w:vertAlign w:val="subscript"/>
              </w:rPr>
              <w:t>max</w:t>
            </w:r>
          </w:p>
          <w:p>
            <w:pPr>
              <w:pStyle w:val="Body"/>
              <w:ind w:firstLine="14" w:start="2779" w:end="0"/>
              <w:jc w:val="both"/>
              <w:rPr>
                <w:b/>
              </w:rPr>
            </w:pPr>
            <w:r>
              <w:rPr>
                <w:b/>
              </w:rPr>
              <w:t>30</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firstLine="18" w:start="-108" w:end="0"/>
              <w:jc w:val="both"/>
              <w:rPr>
                <w:b/>
              </w:rPr>
            </w:pPr>
            <w:r>
              <w:rPr>
                <w:b/>
              </w:rPr>
              <w:t>where:</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tabs>
                <w:tab w:val="left" w:pos="1062" w:leader="none"/>
                <w:tab w:val="left" w:pos="1512" w:leader="none"/>
              </w:tabs>
              <w:spacing w:before="120" w:after="0"/>
              <w:ind w:hanging="1062" w:start="1512" w:end="0"/>
              <w:jc w:val="both"/>
              <w:rPr/>
            </w:pPr>
            <w:r>
              <w:rPr>
                <w:b/>
              </w:rPr>
              <w:t>DC</w:t>
            </w:r>
            <w:r>
              <w:rPr>
                <w:b/>
                <w:vertAlign w:val="subscript"/>
              </w:rPr>
              <w:t>1</w:t>
            </w:r>
            <w:r>
              <w:rPr>
                <w:b/>
              </w:rPr>
              <w:tab/>
              <w:t>=</w:t>
              <w:tab/>
              <w:t>the Demand Charge established in Exhibit 1.1 (converted to dollars per megawatt-month by multiplying the amount on Exhibit 1.1 by 1,000) for a single megawatt-month for the Seasonal Delivery Period in which that Day occurs</w:t>
            </w:r>
          </w:p>
          <w:p>
            <w:pPr>
              <w:pStyle w:val="Body"/>
              <w:tabs>
                <w:tab w:val="left" w:pos="1062" w:leader="none"/>
                <w:tab w:val="left" w:pos="1512" w:leader="none"/>
              </w:tabs>
              <w:spacing w:before="120" w:after="0"/>
              <w:ind w:hanging="1062" w:start="1512" w:end="0"/>
              <w:jc w:val="both"/>
              <w:rPr/>
            </w:pPr>
            <w:r>
              <w:rPr>
                <w:b/>
              </w:rPr>
              <w:t>DR</w:t>
            </w:r>
            <w:r>
              <w:rPr>
                <w:b/>
                <w:vertAlign w:val="subscript"/>
              </w:rPr>
              <w:t>max</w:t>
            </w:r>
            <w:r>
              <w:rPr>
                <w:b/>
              </w:rPr>
              <w:tab/>
              <w:t>=</w:t>
              <w:tab/>
              <w:t>the Deficiency Rate (expressed in MW) for whichever Scheduled Hour during a Scheduled Period during that Day has the highest Deficiency Rate.  The "Deficiency Rate" for any Scheduled Hour is the result of the following equation:</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firstLine="14" w:start="2779" w:end="0"/>
              <w:jc w:val="both"/>
              <w:rPr>
                <w:b/>
              </w:rPr>
            </w:pPr>
            <w:r>
              <w:rPr>
                <w:b/>
              </w:rPr>
              <w:t>R</w:t>
            </w:r>
            <w:r>
              <w:rPr>
                <w:b/>
                <w:vertAlign w:val="subscript"/>
              </w:rPr>
              <w:t>s</w:t>
            </w:r>
            <w:r>
              <w:rPr>
                <w:b/>
              </w:rPr>
              <w:t xml:space="preserve"> – </w:t>
            </w:r>
            <w:r>
              <w:rPr>
                <w:b/>
                <w:u w:val="single"/>
              </w:rPr>
              <w:t>R</w:t>
            </w:r>
            <w:r>
              <w:rPr>
                <w:b/>
                <w:u w:val="single"/>
                <w:vertAlign w:val="subscript"/>
              </w:rPr>
              <w:t>H</w:t>
            </w:r>
            <w:r>
              <w:rPr>
                <w:b/>
                <w:u w:val="single"/>
              </w:rPr>
              <w:t xml:space="preserve">  +  R</w:t>
            </w:r>
            <w:r>
              <w:rPr>
                <w:b/>
                <w:u w:val="single"/>
                <w:vertAlign w:val="subscript"/>
              </w:rPr>
              <w:t>L</w:t>
            </w:r>
          </w:p>
          <w:p>
            <w:pPr>
              <w:pStyle w:val="Body"/>
              <w:ind w:firstLine="14" w:start="2779" w:end="0"/>
              <w:jc w:val="both"/>
              <w:rPr>
                <w:b/>
              </w:rPr>
            </w:pPr>
            <w:r>
              <w:rPr>
                <w:b/>
              </w:rPr>
              <w:tab/>
              <w:tab/>
              <w:t>2</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firstLine="18" w:start="-108" w:end="0"/>
              <w:jc w:val="both"/>
              <w:rPr>
                <w:b/>
              </w:rPr>
            </w:pPr>
            <w:r>
              <w:rPr>
                <w:b/>
              </w:rPr>
              <w:t>where:</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tabs>
                <w:tab w:val="left" w:pos="1062" w:leader="none"/>
                <w:tab w:val="left" w:pos="1512" w:leader="none"/>
              </w:tabs>
              <w:spacing w:before="120" w:after="0"/>
              <w:ind w:hanging="1062" w:start="1512" w:end="0"/>
              <w:jc w:val="both"/>
              <w:rPr/>
            </w:pPr>
            <w:r>
              <w:rPr>
                <w:b/>
              </w:rPr>
              <w:t>R</w:t>
            </w:r>
            <w:r>
              <w:rPr>
                <w:b/>
                <w:vertAlign w:val="subscript"/>
              </w:rPr>
              <w:t>S</w:t>
            </w:r>
            <w:r>
              <w:rPr>
                <w:b/>
              </w:rPr>
              <w:tab/>
              <w:t>=</w:t>
              <w:tab/>
              <w:t>the rate at which the delivery of energy is scheduled during that Scheduled Hour in accordance with Section 2.2</w:t>
            </w:r>
          </w:p>
          <w:p>
            <w:pPr>
              <w:pStyle w:val="Body"/>
              <w:tabs>
                <w:tab w:val="left" w:pos="1062" w:leader="none"/>
                <w:tab w:val="left" w:pos="1512" w:leader="none"/>
              </w:tabs>
              <w:spacing w:before="120" w:after="0"/>
              <w:ind w:hanging="1062" w:start="1512" w:end="0"/>
              <w:jc w:val="both"/>
              <w:rPr/>
            </w:pPr>
            <w:r>
              <w:rPr>
                <w:b/>
              </w:rPr>
              <w:t>R</w:t>
            </w:r>
            <w:r>
              <w:rPr>
                <w:b/>
                <w:vertAlign w:val="subscript"/>
              </w:rPr>
              <w:t>H</w:t>
            </w:r>
            <w:r>
              <w:rPr>
                <w:b/>
              </w:rPr>
              <w:tab/>
              <w:t>=</w:t>
              <w:tab/>
              <w:t>the highest instantaneous rate of Delivery of energy (expressed in MW) during that Scheduled Hour, but calculated assuming that Excluded Deliveries had been delivered</w:t>
            </w:r>
          </w:p>
          <w:p>
            <w:pPr>
              <w:pStyle w:val="Body"/>
              <w:tabs>
                <w:tab w:val="left" w:pos="1062" w:leader="none"/>
                <w:tab w:val="left" w:pos="1512" w:leader="none"/>
              </w:tabs>
              <w:spacing w:before="120" w:after="0"/>
              <w:ind w:hanging="1062" w:start="1512" w:end="0"/>
              <w:jc w:val="both"/>
              <w:rPr/>
            </w:pPr>
            <w:r>
              <w:rPr>
                <w:b/>
              </w:rPr>
              <w:t>R</w:t>
            </w:r>
            <w:r>
              <w:rPr>
                <w:b/>
                <w:vertAlign w:val="subscript"/>
              </w:rPr>
              <w:t>L</w:t>
            </w:r>
            <w:r>
              <w:rPr>
                <w:b/>
              </w:rPr>
              <w:tab/>
              <w:t>=</w:t>
              <w:tab/>
              <w:t>the lowest instantaneous rate of delivery of energy (expressed in MW) during that Scheduled Hour, but calculated assuming that Excluded Deliveries had been delivered</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firstLine="18" w:start="432" w:end="0"/>
              <w:jc w:val="both"/>
              <w:rPr>
                <w:b/>
              </w:rPr>
            </w:pPr>
            <w:r>
              <w:rPr>
                <w:b/>
              </w:rPr>
              <w:t>For purposes of this calculation, "Scheduled Hour" means, during any Scheduled Period, any of the consecutive 60-minute periods during a Scheduled Period beginning and ending on the same quarter-hour as the applicable Scheduled Period began.  If more than one such Day occurs during a Seasonal Delivery Period, the reduction shall be made for each such Day, but if the circumstances occur with respect to more than one Scheduled Period during a single Day, only one reduction in the Demand Charge shall be made for that Deficiency Day, which shall be the highest such reduction.  In no circumstances, however, shall the amount in Section 8.1(a) be reduced to below zero."</w:t>
            </w:r>
          </w:p>
        </w:tc>
      </w:tr>
      <w:tr>
        <w:trPr/>
        <w:tc>
          <w:tcPr>
            <w:tcW w:w="2610" w:type="dxa"/>
            <w:tcBorders/>
          </w:tcPr>
          <w:p>
            <w:pPr>
              <w:pStyle w:val="Body"/>
              <w:spacing w:before="120" w:after="0"/>
              <w:ind w:start="342" w:end="0"/>
              <w:rPr>
                <w:b/>
              </w:rPr>
            </w:pPr>
            <w:r>
              <w:rPr>
                <w:b/>
              </w:rPr>
              <w:t xml:space="preserve">Termination of </w:t>
            </w:r>
          </w:p>
          <w:p>
            <w:pPr>
              <w:pStyle w:val="Body"/>
              <w:ind w:start="346" w:end="0"/>
              <w:rPr>
                <w:b/>
              </w:rPr>
            </w:pPr>
            <w:r>
              <w:rPr>
                <w:b/>
              </w:rPr>
              <w:t>OPAs:</w:t>
            </w:r>
          </w:p>
        </w:tc>
        <w:tc>
          <w:tcPr>
            <w:tcW w:w="7470" w:type="dxa"/>
            <w:tcBorders/>
          </w:tcPr>
          <w:p>
            <w:pPr>
              <w:pStyle w:val="Body"/>
              <w:snapToGrid w:val="false"/>
              <w:spacing w:before="120" w:after="0"/>
              <w:ind w:firstLine="18" w:start="-108" w:end="0"/>
              <w:jc w:val="both"/>
              <w:rPr>
                <w:b/>
              </w:rPr>
            </w:pPr>
            <w:r>
              <w:rPr>
                <w:b/>
              </w:rPr>
            </w:r>
          </w:p>
          <w:p>
            <w:pPr>
              <w:pStyle w:val="Body"/>
              <w:ind w:firstLine="14" w:start="-115" w:end="0"/>
              <w:jc w:val="both"/>
              <w:rPr/>
            </w:pPr>
            <w:r>
              <w:rPr/>
              <w:t>Section 6.4 of the MOPA grants TVA an option to terminate OPAs if EPMI fails to deliver energy under certain conditions.  If TVA is able to terminate certain OPAs then EPMI will be obligated to make a Termination Payment (the mark-to-market value) to TVA for each terminated OPA.  In order for TVA to terminate OPAs, the following conditions must have occurred:</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hanging="522" w:start="972" w:end="0"/>
              <w:jc w:val="both"/>
              <w:rPr/>
            </w:pPr>
            <w:r>
              <w:rPr>
                <w:b/>
              </w:rPr>
              <w:t>(1)</w:t>
              <w:tab/>
              <w:t xml:space="preserve">Either (a) 10 or more Deficiency Days ("DD") have occurred during the current and preceding Seasonal Delivery Period ("SDP") with at least 3 in each period </w:t>
            </w:r>
            <w:r>
              <w:rPr>
                <w:b/>
                <w:u w:val="single"/>
              </w:rPr>
              <w:t>or</w:t>
            </w:r>
            <w:r>
              <w:rPr>
                <w:b/>
              </w:rPr>
              <w:t xml:space="preserve"> (b) 15 or more DDs have occurred in the current SDP; and</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hanging="522" w:start="972" w:end="0"/>
              <w:jc w:val="both"/>
              <w:rPr/>
            </w:pPr>
            <w:r>
              <w:rPr>
                <w:b/>
              </w:rPr>
              <w:t>(2)</w:t>
              <w:tab/>
              <w:t xml:space="preserve">The quantity of energy EPMI fails to deliver (other than excused by Force Majeure, an Agreed Interruption, caused by TVA or are Seller Firm Temporary Interruptions) since the first scheduling of energy </w:t>
            </w:r>
            <w:r>
              <w:rPr>
                <w:b/>
                <w:u w:val="single"/>
              </w:rPr>
              <w:t>exceeds 2%</w:t>
            </w:r>
            <w:r>
              <w:rPr>
                <w:b/>
              </w:rPr>
              <w:t xml:space="preserve"> of the aggregate quantity of energy scheduled.</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firstLine="18" w:start="432" w:end="0"/>
              <w:jc w:val="both"/>
              <w:rPr>
                <w:b/>
              </w:rPr>
            </w:pPr>
            <w:r>
              <w:rPr>
                <w:b/>
              </w:rPr>
              <w:t>As used in the MOPA, a "Deficiency Period" means a continuous period of more than 60 minutes:</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hanging="522" w:start="1512" w:end="0"/>
              <w:jc w:val="both"/>
              <w:rPr>
                <w:b/>
              </w:rPr>
            </w:pPr>
            <w:r>
              <w:rPr>
                <w:b/>
              </w:rPr>
              <w:t>(A)</w:t>
              <w:tab/>
              <w:t>that occurs during a Scheduled Period, other than a Scheduled Period occurring during the first week of either of the first two Seasonal Delivery Periods for which there are Exercised OPAs,</w:t>
            </w:r>
          </w:p>
          <w:p>
            <w:pPr>
              <w:pStyle w:val="Body"/>
              <w:spacing w:before="120" w:after="0"/>
              <w:ind w:hanging="522" w:start="1512" w:end="0"/>
              <w:jc w:val="both"/>
              <w:rPr>
                <w:b/>
              </w:rPr>
            </w:pPr>
            <w:r>
              <w:rPr>
                <w:b/>
              </w:rPr>
              <w:t>(B)</w:t>
              <w:tab/>
              <w:t>during which Seller fails to deliver energy at the rate at which energy is scheduled to be delivered in accordance with Section 2.2; and</w:t>
            </w:r>
          </w:p>
          <w:p>
            <w:pPr>
              <w:pStyle w:val="Body"/>
              <w:spacing w:before="120" w:after="0"/>
              <w:ind w:hanging="522" w:start="1512" w:end="0"/>
              <w:jc w:val="both"/>
              <w:rPr>
                <w:b/>
              </w:rPr>
            </w:pPr>
            <w:r>
              <w:rPr>
                <w:b/>
              </w:rPr>
              <w:t>(C)</w:t>
              <w:tab/>
              <w:t>Seller's failure is not excused under Article 10, an Agreed Interruption, caused by Buyer, or a Seller Firm Temporary Interruption.</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firstLine="18" w:start="432" w:end="0"/>
              <w:jc w:val="both"/>
              <w:rPr>
                <w:b/>
              </w:rPr>
            </w:pPr>
            <w:r>
              <w:rPr>
                <w:b/>
              </w:rPr>
              <w:t>"Deficiency Day" means a Day during which a Deficiency Period occurs.</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firstLine="18" w:start="-108" w:end="0"/>
              <w:jc w:val="both"/>
              <w:rPr/>
            </w:pPr>
            <w:r>
              <w:rPr/>
              <w:t>The number of OPA's TVA is permitted to cancel is based on the following equation:</w:t>
            </w:r>
          </w:p>
        </w:tc>
      </w:tr>
      <w:tr>
        <w:trPr/>
        <w:tc>
          <w:tcPr>
            <w:tcW w:w="2610" w:type="dxa"/>
            <w:tcBorders/>
          </w:tcPr>
          <w:p>
            <w:pPr>
              <w:pStyle w:val="Body"/>
              <w:keepNext w:val="true"/>
              <w:keepLines/>
              <w:snapToGrid w:val="false"/>
              <w:spacing w:before="120" w:after="0"/>
              <w:ind w:start="342" w:end="0"/>
              <w:rPr>
                <w:b/>
              </w:rPr>
            </w:pPr>
            <w:r>
              <w:rPr>
                <w:b/>
              </w:rPr>
            </w:r>
          </w:p>
        </w:tc>
        <w:tc>
          <w:tcPr>
            <w:tcW w:w="7470" w:type="dxa"/>
            <w:tcBorders/>
          </w:tcPr>
          <w:p>
            <w:pPr>
              <w:pStyle w:val="Body"/>
              <w:keepNext w:val="true"/>
              <w:keepLines/>
              <w:spacing w:before="120" w:after="0"/>
              <w:ind w:firstLine="18" w:start="972" w:end="0"/>
              <w:jc w:val="both"/>
              <w:rPr/>
            </w:pPr>
            <w:r>
              <w:rPr>
                <w:u w:val="single"/>
              </w:rPr>
              <w:t>MWH EPMI failed to deliver</w:t>
            </w:r>
            <w:r>
              <w:rPr/>
              <w:t xml:space="preserve">  x  </w:t>
            </w:r>
            <w:r>
              <w:rPr>
                <w:u w:val="single"/>
              </w:rPr>
              <w:t xml:space="preserve">  1 </w:t>
            </w:r>
          </w:p>
          <w:p>
            <w:pPr>
              <w:pStyle w:val="Body"/>
              <w:keepNext w:val="true"/>
              <w:keepLines/>
              <w:ind w:firstLine="14" w:start="972" w:end="0"/>
              <w:jc w:val="both"/>
              <w:rPr/>
            </w:pPr>
            <w:r>
              <w:rPr/>
              <w:t>Aggregate duration of the</w:t>
              <w:tab/>
              <w:t xml:space="preserve">   25</w:t>
            </w:r>
          </w:p>
          <w:p>
            <w:pPr>
              <w:pStyle w:val="Body"/>
              <w:keepNext w:val="true"/>
              <w:keepLines/>
              <w:ind w:firstLine="14" w:start="972" w:end="0"/>
              <w:jc w:val="both"/>
              <w:rPr/>
            </w:pPr>
            <w:r>
              <w:rPr/>
              <w:t>Deficiency Period</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firstLine="18" w:start="-108" w:end="0"/>
              <w:jc w:val="both"/>
              <w:rPr/>
            </w:pPr>
            <w:r>
              <w:rPr/>
              <w:t>Importantly, TVA's cancellation rights "drill through" all future SDPs and TVA is permitted to cancel OPAs in each future SDP equal to the whole number resulting from the above equation.</w:t>
            </w:r>
          </w:p>
        </w:tc>
      </w:tr>
      <w:tr>
        <w:trPr/>
        <w:tc>
          <w:tcPr>
            <w:tcW w:w="2610" w:type="dxa"/>
            <w:tcBorders/>
          </w:tcPr>
          <w:p>
            <w:pPr>
              <w:pStyle w:val="Body"/>
              <w:spacing w:before="120" w:after="0"/>
              <w:ind w:start="342" w:end="0"/>
              <w:rPr>
                <w:b/>
              </w:rPr>
            </w:pPr>
            <w:r>
              <w:rPr>
                <w:b/>
              </w:rPr>
              <w:t>Exclusive Remedy/</w:t>
            </w:r>
          </w:p>
          <w:p>
            <w:pPr>
              <w:pStyle w:val="Body"/>
              <w:ind w:start="346" w:end="0"/>
              <w:rPr>
                <w:b/>
              </w:rPr>
            </w:pPr>
            <w:r>
              <w:rPr>
                <w:b/>
              </w:rPr>
              <w:t>Waiver</w:t>
            </w:r>
          </w:p>
          <w:p>
            <w:pPr>
              <w:pStyle w:val="Body"/>
              <w:ind w:start="346" w:end="0"/>
              <w:rPr>
                <w:b/>
              </w:rPr>
            </w:pPr>
            <w:r>
              <w:rPr>
                <w:b/>
              </w:rPr>
              <w:t>Consequential</w:t>
            </w:r>
          </w:p>
          <w:p>
            <w:pPr>
              <w:pStyle w:val="Body"/>
              <w:ind w:start="346" w:end="0"/>
              <w:rPr>
                <w:b/>
              </w:rPr>
            </w:pPr>
            <w:r>
              <w:rPr>
                <w:b/>
              </w:rPr>
              <w:t>Damages</w:t>
            </w:r>
          </w:p>
        </w:tc>
        <w:tc>
          <w:tcPr>
            <w:tcW w:w="7470" w:type="dxa"/>
            <w:tcBorders/>
          </w:tcPr>
          <w:p>
            <w:pPr>
              <w:pStyle w:val="Body"/>
              <w:snapToGrid w:val="false"/>
              <w:spacing w:before="120" w:after="0"/>
              <w:ind w:firstLine="18" w:start="-108" w:end="0"/>
              <w:jc w:val="both"/>
              <w:rPr>
                <w:b/>
              </w:rPr>
            </w:pPr>
            <w:r>
              <w:rPr>
                <w:b/>
              </w:rPr>
            </w:r>
          </w:p>
          <w:p>
            <w:pPr>
              <w:pStyle w:val="Body"/>
              <w:spacing w:before="120" w:after="0"/>
              <w:ind w:firstLine="18" w:start="-108" w:end="0"/>
              <w:jc w:val="both"/>
              <w:rPr/>
            </w:pPr>
            <w:r>
              <w:rPr/>
            </w:r>
          </w:p>
          <w:p>
            <w:pPr>
              <w:pStyle w:val="Body"/>
              <w:spacing w:before="120" w:after="0"/>
              <w:ind w:firstLine="18" w:start="-108" w:end="0"/>
              <w:jc w:val="both"/>
              <w:rPr/>
            </w:pPr>
            <w:r>
              <w:rPr/>
              <w:t>Section 3.3 of the MOPA provides that (a) "Buyer Failure" (3.1) and "Seller Failure" (3.2) are the sole and exclusive remedies for a Party's failure to deliver/receive energy, (b) each Party waives other damages, and (c) agrees that such damages are reasonable.  Section 3.3 further provides that (a) damages shall be limited to direct actual damages only and (b) neither Party shall be liable for consequential, incidental, punitive, exemplary or indirect damages in tort, contract or under any indemnity provision or otherwise.</w:t>
            </w:r>
          </w:p>
        </w:tc>
      </w:tr>
      <w:tr>
        <w:trPr/>
        <w:tc>
          <w:tcPr>
            <w:tcW w:w="2610" w:type="dxa"/>
            <w:tcBorders/>
          </w:tcPr>
          <w:p>
            <w:pPr>
              <w:pStyle w:val="Body"/>
              <w:spacing w:before="240" w:after="120"/>
              <w:ind w:start="0" w:end="0"/>
              <w:rPr>
                <w:b/>
              </w:rPr>
            </w:pPr>
            <w:r>
              <w:rPr>
                <w:b/>
                <w:smallCaps/>
              </w:rPr>
              <w:t>D.</w:t>
              <w:tab/>
            </w:r>
            <w:r>
              <w:rPr>
                <w:b/>
                <w:smallCaps/>
                <w:u w:val="single"/>
              </w:rPr>
              <w:t>Action Items</w:t>
            </w:r>
          </w:p>
        </w:tc>
        <w:tc>
          <w:tcPr>
            <w:tcW w:w="7470" w:type="dxa"/>
            <w:tcBorders/>
          </w:tcPr>
          <w:p>
            <w:pPr>
              <w:pStyle w:val="Body"/>
              <w:snapToGrid w:val="false"/>
              <w:spacing w:before="240" w:after="120"/>
              <w:ind w:start="0" w:end="0"/>
              <w:jc w:val="both"/>
              <w:rPr>
                <w:b/>
              </w:rPr>
            </w:pPr>
            <w:r>
              <w:rPr>
                <w:b/>
              </w:rPr>
            </w:r>
          </w:p>
        </w:tc>
      </w:tr>
      <w:tr>
        <w:trPr/>
        <w:tc>
          <w:tcPr>
            <w:tcW w:w="2610" w:type="dxa"/>
            <w:tcBorders/>
          </w:tcPr>
          <w:p>
            <w:pPr>
              <w:pStyle w:val="Body"/>
              <w:spacing w:before="120" w:after="0"/>
              <w:ind w:start="342" w:end="0"/>
              <w:rPr>
                <w:b/>
                <w:smallCaps/>
              </w:rPr>
            </w:pPr>
            <w:r>
              <w:rPr>
                <w:b/>
              </w:rPr>
              <w:t>TVA Meeting</w:t>
            </w:r>
          </w:p>
        </w:tc>
        <w:tc>
          <w:tcPr>
            <w:tcW w:w="7470" w:type="dxa"/>
            <w:tcBorders/>
          </w:tcPr>
          <w:p>
            <w:pPr>
              <w:pStyle w:val="Body"/>
              <w:spacing w:before="120" w:after="0"/>
              <w:ind w:start="0" w:end="0"/>
              <w:jc w:val="both"/>
              <w:rPr/>
            </w:pPr>
            <w:r>
              <w:rPr/>
              <w:t>We must schedule a meeting with TVA to set up the operating procedures and operating committee, as well as to discuss the issues discussed above.  I suggest John Berger, Ozzie Pagen, Kevin Presto and/or Lance Halgren and/or Dave Delaney participate with me.  The operating procedures should be developed after this meeting.  The Operating Committee (which must consist of two people) needs to be formed.  I suggest that myself and either Lance Halgren, Kevin Presto or Jim Fallon should be the initial members of the Operating Committee.</w:t>
            </w:r>
          </w:p>
        </w:tc>
      </w:tr>
      <w:tr>
        <w:trPr/>
        <w:tc>
          <w:tcPr>
            <w:tcW w:w="2610" w:type="dxa"/>
            <w:tcBorders/>
          </w:tcPr>
          <w:p>
            <w:pPr>
              <w:pStyle w:val="Body"/>
              <w:spacing w:before="120" w:after="0"/>
              <w:ind w:start="342" w:end="0"/>
              <w:rPr>
                <w:b/>
              </w:rPr>
            </w:pPr>
            <w:r>
              <w:rPr>
                <w:b/>
              </w:rPr>
              <w:t xml:space="preserve">Additional TVA </w:t>
            </w:r>
          </w:p>
          <w:p>
            <w:pPr>
              <w:pStyle w:val="Body"/>
              <w:ind w:start="346" w:end="0"/>
              <w:rPr>
                <w:b/>
              </w:rPr>
            </w:pPr>
            <w:r>
              <w:rPr>
                <w:b/>
              </w:rPr>
              <w:t>Research Items</w:t>
            </w:r>
          </w:p>
        </w:tc>
        <w:tc>
          <w:tcPr>
            <w:tcW w:w="7470" w:type="dxa"/>
            <w:tcBorders/>
          </w:tcPr>
          <w:p>
            <w:pPr>
              <w:pStyle w:val="Body"/>
              <w:spacing w:before="120" w:after="0"/>
              <w:ind w:start="0" w:end="0"/>
              <w:jc w:val="both"/>
              <w:rPr/>
            </w:pPr>
            <w:r>
              <w:rPr/>
              <w:t>In addition to the research set forth herein, I have been working with outside counsel to understand several other issues including the following:</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Department"/>
              <w:numPr>
                <w:ilvl w:val="0"/>
                <w:numId w:val="5"/>
              </w:numPr>
              <w:spacing w:before="120" w:after="0"/>
              <w:ind w:hanging="360" w:start="702" w:end="522"/>
              <w:jc w:val="both"/>
              <w:rPr/>
            </w:pPr>
            <w:r>
              <w:rPr/>
              <w:t>TVA's oral agreement to terminate 16 options for the Winter Period;</w:t>
            </w:r>
          </w:p>
          <w:p>
            <w:pPr>
              <w:pStyle w:val="Department"/>
              <w:numPr>
                <w:ilvl w:val="0"/>
                <w:numId w:val="5"/>
              </w:numPr>
              <w:spacing w:before="120" w:after="0"/>
              <w:ind w:hanging="360" w:start="702" w:end="522"/>
              <w:jc w:val="both"/>
              <w:rPr/>
            </w:pPr>
            <w:r>
              <w:rPr/>
              <w:t>EPMI's ability to "schedule" in blocks other than 25 MW;</w:t>
            </w:r>
          </w:p>
          <w:p>
            <w:pPr>
              <w:pStyle w:val="Department"/>
              <w:numPr>
                <w:ilvl w:val="0"/>
                <w:numId w:val="5"/>
              </w:numPr>
              <w:spacing w:before="120" w:after="0"/>
              <w:ind w:hanging="360" w:start="702" w:end="522"/>
              <w:jc w:val="both"/>
              <w:rPr/>
            </w:pPr>
            <w:r>
              <w:rPr/>
              <w:t>TVA's obligations to help EPMI reconfigure SDP's after EPMI is otherwise cut on firm supply, regardless of whether there is a force majeure; and</w:t>
            </w:r>
          </w:p>
          <w:p>
            <w:pPr>
              <w:pStyle w:val="Body"/>
              <w:numPr>
                <w:ilvl w:val="0"/>
                <w:numId w:val="5"/>
              </w:numPr>
              <w:tabs>
                <w:tab w:val="left" w:pos="342" w:leader="none"/>
              </w:tabs>
              <w:spacing w:before="120" w:after="0"/>
              <w:ind w:hanging="360" w:start="702" w:end="522"/>
              <w:jc w:val="both"/>
              <w:rPr/>
            </w:pPr>
            <w:r>
              <w:rPr/>
              <w:t>EPMI's financial obligations if EPMI fails to deliver scheduled energy.</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pacing w:before="120" w:after="0"/>
              <w:ind w:start="0" w:end="0"/>
              <w:jc w:val="both"/>
              <w:rPr/>
            </w:pPr>
            <w:r>
              <w:rPr/>
              <w:t>My analysis of these issues, as well as any others that come to my attention, will be summarized at a later date.</w:t>
            </w:r>
          </w:p>
        </w:tc>
      </w:tr>
      <w:tr>
        <w:trPr/>
        <w:tc>
          <w:tcPr>
            <w:tcW w:w="2610" w:type="dxa"/>
            <w:tcBorders/>
          </w:tcPr>
          <w:p>
            <w:pPr>
              <w:pStyle w:val="Body"/>
              <w:spacing w:before="120" w:after="0"/>
              <w:ind w:start="342" w:end="0"/>
              <w:rPr>
                <w:b/>
              </w:rPr>
            </w:pPr>
            <w:r>
              <w:rPr>
                <w:b/>
              </w:rPr>
              <w:t>Option Termination</w:t>
            </w:r>
          </w:p>
        </w:tc>
        <w:tc>
          <w:tcPr>
            <w:tcW w:w="7470" w:type="dxa"/>
            <w:tcBorders/>
          </w:tcPr>
          <w:p>
            <w:pPr>
              <w:pStyle w:val="Body"/>
              <w:spacing w:before="120" w:after="0"/>
              <w:ind w:start="0" w:end="0"/>
              <w:jc w:val="both"/>
              <w:rPr/>
            </w:pPr>
            <w:r>
              <w:rPr/>
              <w:t>EPMI will need to calculate its potential damages at the end of February to determine if litigation is warranted with respect to TVA's oral agreement to terminate 16 OPAs.</w:t>
            </w:r>
          </w:p>
        </w:tc>
      </w:tr>
      <w:tr>
        <w:trPr/>
        <w:tc>
          <w:tcPr>
            <w:tcW w:w="2610" w:type="dxa"/>
            <w:tcBorders/>
          </w:tcPr>
          <w:p>
            <w:pPr>
              <w:pStyle w:val="Body"/>
              <w:snapToGrid w:val="false"/>
              <w:spacing w:before="120" w:after="0"/>
              <w:ind w:start="342" w:end="0"/>
              <w:rPr>
                <w:b/>
              </w:rPr>
            </w:pPr>
            <w:r>
              <w:rPr>
                <w:b/>
              </w:rPr>
            </w:r>
          </w:p>
        </w:tc>
        <w:tc>
          <w:tcPr>
            <w:tcW w:w="7470" w:type="dxa"/>
            <w:tcBorders/>
          </w:tcPr>
          <w:p>
            <w:pPr>
              <w:pStyle w:val="Body"/>
              <w:snapToGrid w:val="false"/>
              <w:spacing w:before="120" w:after="0"/>
              <w:ind w:start="0" w:end="0"/>
              <w:jc w:val="both"/>
              <w:rPr>
                <w:b/>
              </w:rPr>
            </w:pPr>
            <w:r>
              <w:rPr>
                <w:b/>
              </w:rPr>
            </w:r>
          </w:p>
        </w:tc>
      </w:tr>
    </w:tbl>
    <w:p>
      <w:pPr>
        <w:pStyle w:val="Department"/>
        <w:spacing w:before="120" w:after="0"/>
        <w:ind w:end="720"/>
        <w:jc w:val="both"/>
        <w:rPr/>
      </w:pPr>
      <w:r>
        <w:rPr/>
        <w:t>cc:</w:t>
        <w:tab/>
        <w:t>Mark Haedicke</w:t>
      </w:r>
    </w:p>
    <w:p>
      <w:pPr>
        <w:pStyle w:val="Department"/>
        <w:ind w:end="720"/>
        <w:jc w:val="both"/>
        <w:rPr/>
      </w:pPr>
      <w:r>
        <w:rPr/>
        <w:tab/>
        <w:t>Richard Sanders</w:t>
      </w:r>
    </w:p>
    <w:p>
      <w:pPr>
        <w:pStyle w:val="Department"/>
        <w:ind w:end="720"/>
        <w:jc w:val="both"/>
        <w:rPr/>
      </w:pPr>
      <w:r>
        <w:rPr/>
        <w:tab/>
        <w:t>Bob Madden</w:t>
      </w:r>
    </w:p>
    <w:p>
      <w:pPr>
        <w:sectPr>
          <w:headerReference w:type="default" r:id="rId3"/>
          <w:headerReference w:type="first" r:id="rId4"/>
          <w:footerReference w:type="default" r:id="rId5"/>
          <w:footerReference w:type="first" r:id="rId6"/>
          <w:footnotePr>
            <w:numFmt w:val="decimal"/>
          </w:footnotePr>
          <w:type w:val="nextPage"/>
          <w:pgSz w:w="12240" w:h="15840"/>
          <w:pgMar w:left="720" w:right="720" w:gutter="0" w:header="720" w:top="776" w:footer="360" w:bottom="416"/>
          <w:pgNumType w:fmt="decimal"/>
          <w:formProt w:val="false"/>
          <w:titlePg/>
          <w:textDirection w:val="lrTb"/>
          <w:docGrid w:type="default" w:linePitch="360" w:charSpace="0"/>
        </w:sectPr>
        <w:pStyle w:val="Department"/>
        <w:ind w:end="720"/>
        <w:jc w:val="both"/>
        <w:rPr/>
      </w:pPr>
      <w:r>
        <w:rPr/>
      </w:r>
    </w:p>
    <w:p>
      <w:pPr>
        <w:pStyle w:val="Department"/>
        <w:ind w:end="720"/>
        <w:jc w:val="both"/>
        <w:rPr>
          <w:rFonts w:ascii="Times New Roman" w:hAnsi="Times New Roman" w:cs="Times New Roman"/>
          <w:sz w:val="22"/>
        </w:rPr>
      </w:pPr>
      <w:r>
        <w:rPr>
          <w:rFonts w:cs="Times New Roman" w:ascii="Times New Roman" w:hAnsi="Times New Roman"/>
          <w:sz w:val="22"/>
        </w:rPr>
      </w:r>
    </w:p>
    <w:p>
      <w:pPr>
        <w:pStyle w:val="Department"/>
        <w:ind w:start="720" w:end="720"/>
        <w:jc w:val="center"/>
        <w:rPr>
          <w:rFonts w:ascii="Times New Roman" w:hAnsi="Times New Roman" w:cs="Times New Roman"/>
          <w:sz w:val="22"/>
        </w:rPr>
      </w:pPr>
      <w:r>
        <w:rPr>
          <w:rFonts w:cs="Times New Roman" w:ascii="Times New Roman" w:hAnsi="Times New Roman"/>
          <w:sz w:val="22"/>
        </w:rPr>
        <w:t>OPA Operational Issues Agenda</w:t>
      </w:r>
    </w:p>
    <w:p>
      <w:pPr>
        <w:pStyle w:val="Department"/>
        <w:ind w:start="720" w:end="720"/>
        <w:jc w:val="both"/>
        <w:rPr>
          <w:rFonts w:ascii="Times New Roman" w:hAnsi="Times New Roman" w:cs="Times New Roman"/>
          <w:sz w:val="22"/>
        </w:rPr>
      </w:pPr>
      <w:r>
        <w:rPr>
          <w:rFonts w:cs="Times New Roman" w:ascii="Times New Roman" w:hAnsi="Times New Roman"/>
          <w:sz w:val="22"/>
        </w:rPr>
      </w:r>
    </w:p>
    <w:p>
      <w:pPr>
        <w:pStyle w:val="Department"/>
        <w:ind w:start="720" w:end="720"/>
        <w:jc w:val="both"/>
        <w:rPr>
          <w:rFonts w:ascii="Times New Roman" w:hAnsi="Times New Roman" w:cs="Times New Roman"/>
          <w:sz w:val="22"/>
        </w:rPr>
      </w:pPr>
      <w:r>
        <w:rPr>
          <w:rFonts w:cs="Times New Roman" w:ascii="Times New Roman" w:hAnsi="Times New Roman"/>
          <w:sz w:val="22"/>
        </w:rPr>
      </w:r>
    </w:p>
    <w:p>
      <w:pPr>
        <w:pStyle w:val="Department"/>
        <w:numPr>
          <w:ilvl w:val="0"/>
          <w:numId w:val="3"/>
        </w:numPr>
        <w:ind w:hanging="360" w:start="1800" w:end="1440"/>
        <w:jc w:val="both"/>
        <w:rPr>
          <w:rFonts w:ascii="Times New Roman" w:hAnsi="Times New Roman" w:cs="Times New Roman"/>
          <w:sz w:val="22"/>
        </w:rPr>
      </w:pPr>
      <w:r>
        <w:rPr>
          <w:rFonts w:cs="Times New Roman" w:ascii="Times New Roman" w:hAnsi="Times New Roman"/>
          <w:sz w:val="22"/>
        </w:rPr>
        <w:t>Delivery issues on December 23, 1998, and January 4 and 5, 1999</w:t>
      </w:r>
    </w:p>
    <w:p>
      <w:pPr>
        <w:pStyle w:val="Department"/>
        <w:numPr>
          <w:ilvl w:val="0"/>
          <w:numId w:val="3"/>
        </w:numPr>
        <w:ind w:hanging="360" w:start="1800" w:end="1440"/>
        <w:jc w:val="both"/>
        <w:rPr>
          <w:rFonts w:ascii="Times New Roman" w:hAnsi="Times New Roman" w:cs="Times New Roman"/>
          <w:sz w:val="22"/>
        </w:rPr>
      </w:pPr>
      <w:r>
        <w:rPr>
          <w:rFonts w:cs="Times New Roman" w:ascii="Times New Roman" w:hAnsi="Times New Roman"/>
          <w:sz w:val="22"/>
        </w:rPr>
        <w:t>Use of interface capacity in excess of amounts specified in Master OPA Exhibit 4.1(a)</w:t>
      </w:r>
    </w:p>
    <w:p>
      <w:pPr>
        <w:pStyle w:val="Department"/>
        <w:numPr>
          <w:ilvl w:val="0"/>
          <w:numId w:val="3"/>
        </w:numPr>
        <w:ind w:hanging="360" w:start="1800" w:end="1440"/>
        <w:jc w:val="both"/>
        <w:rPr>
          <w:rFonts w:ascii="Times New Roman" w:hAnsi="Times New Roman" w:cs="Times New Roman"/>
          <w:sz w:val="22"/>
        </w:rPr>
      </w:pPr>
      <w:r>
        <w:rPr>
          <w:rFonts w:cs="Times New Roman" w:ascii="Times New Roman" w:hAnsi="Times New Roman"/>
          <w:sz w:val="22"/>
        </w:rPr>
        <w:t>Day-ahead scheduling</w:t>
      </w:r>
    </w:p>
    <w:p>
      <w:pPr>
        <w:pStyle w:val="Department"/>
        <w:numPr>
          <w:ilvl w:val="0"/>
          <w:numId w:val="3"/>
        </w:numPr>
        <w:ind w:hanging="360" w:start="1800" w:end="1440"/>
        <w:jc w:val="both"/>
        <w:rPr>
          <w:rFonts w:ascii="Times New Roman" w:hAnsi="Times New Roman" w:cs="Times New Roman"/>
          <w:sz w:val="22"/>
        </w:rPr>
      </w:pPr>
      <w:r>
        <w:rPr>
          <w:rFonts w:cs="Times New Roman" w:ascii="Times New Roman" w:hAnsi="Times New Roman"/>
          <w:sz w:val="22"/>
        </w:rPr>
        <w:t>NERC scheduling requirements (e.g., tagging information)</w:t>
      </w:r>
    </w:p>
    <w:p>
      <w:pPr>
        <w:pStyle w:val="Department"/>
        <w:numPr>
          <w:ilvl w:val="0"/>
          <w:numId w:val="3"/>
        </w:numPr>
        <w:ind w:hanging="360" w:start="1800" w:end="1440"/>
        <w:jc w:val="both"/>
        <w:rPr>
          <w:rFonts w:ascii="Times New Roman" w:hAnsi="Times New Roman" w:cs="Times New Roman"/>
          <w:sz w:val="22"/>
        </w:rPr>
      </w:pPr>
      <w:r>
        <w:rPr>
          <w:rFonts w:cs="Times New Roman" w:ascii="Times New Roman" w:hAnsi="Times New Roman"/>
          <w:sz w:val="22"/>
        </w:rPr>
        <w:t>Amending list of permitted delivery points specified in Master OPA</w:t>
      </w:r>
    </w:p>
    <w:p>
      <w:pPr>
        <w:pStyle w:val="Department"/>
        <w:numPr>
          <w:ilvl w:val="0"/>
          <w:numId w:val="3"/>
        </w:numPr>
        <w:ind w:hanging="360" w:start="1800" w:end="1440"/>
        <w:jc w:val="both"/>
        <w:rPr>
          <w:rFonts w:ascii="Times New Roman" w:hAnsi="Times New Roman" w:cs="Times New Roman"/>
          <w:sz w:val="22"/>
        </w:rPr>
      </w:pPr>
      <w:r>
        <w:rPr>
          <w:rFonts w:cs="Times New Roman" w:ascii="Times New Roman" w:hAnsi="Times New Roman"/>
          <w:sz w:val="22"/>
        </w:rPr>
        <w:t>Establishing an Operating Committee per Master OPA section 7.2</w:t>
      </w:r>
    </w:p>
    <w:p>
      <w:pPr>
        <w:pStyle w:val="Department"/>
        <w:ind w:start="1440" w:end="1440"/>
        <w:jc w:val="both"/>
        <w:rPr>
          <w:rFonts w:ascii="Times New Roman" w:hAnsi="Times New Roman" w:cs="Times New Roman"/>
          <w:sz w:val="22"/>
        </w:rPr>
      </w:pPr>
      <w:r>
        <w:rPr>
          <w:rFonts w:cs="Times New Roman" w:ascii="Times New Roman" w:hAnsi="Times New Roman"/>
          <w:sz w:val="22"/>
        </w:rPr>
      </w:r>
    </w:p>
    <w:p>
      <w:pPr>
        <w:pStyle w:val="Department"/>
        <w:ind w:start="1440" w:end="1440"/>
        <w:jc w:val="both"/>
        <w:rPr>
          <w:rFonts w:ascii="Times New Roman" w:hAnsi="Times New Roman" w:cs="Times New Roman"/>
          <w:sz w:val="22"/>
        </w:rPr>
      </w:pPr>
      <w:r>
        <w:rPr>
          <w:rFonts w:cs="Times New Roman" w:ascii="Times New Roman" w:hAnsi="Times New Roman"/>
          <w:sz w:val="22"/>
        </w:rPr>
      </w:r>
    </w:p>
    <w:p>
      <w:pPr>
        <w:pStyle w:val="Department"/>
        <w:ind w:start="1440" w:end="1440"/>
        <w:jc w:val="both"/>
        <w:rPr>
          <w:rFonts w:ascii="Times New Roman" w:hAnsi="Times New Roman" w:cs="Times New Roman"/>
          <w:sz w:val="22"/>
        </w:rPr>
      </w:pPr>
      <w:r>
        <w:rPr>
          <w:rFonts w:cs="Times New Roman" w:ascii="Times New Roman" w:hAnsi="Times New Roman"/>
          <w:sz w:val="22"/>
        </w:rPr>
        <w:tab/>
        <w:t>If there are additional operational issues that Enron desires to discuss, please provide TVA with a list of such additional agenda items.</w:t>
      </w:r>
    </w:p>
    <w:sectPr>
      <w:headerReference w:type="default" r:id="rId7"/>
      <w:headerReference w:type="first" r:id="rId8"/>
      <w:footerReference w:type="default" r:id="rId9"/>
      <w:footerReference w:type="first" r:id="rId10"/>
      <w:footnotePr>
        <w:numFmt w:val="decimal"/>
      </w:footnotePr>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2430" w:leader="none"/>
        <w:tab w:val="left" w:pos="5310" w:leader="none"/>
        <w:tab w:val="right" w:pos="8640" w:leader="none"/>
        <w:tab w:val="right" w:pos="10800" w:leader="none"/>
      </w:tabs>
      <w:rPr>
        <w:sz w:val="12"/>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/mnt/main-storage/datasets/enron-docs/doc/MasterOptionPurch1A.doc</w:t>
    </w:r>
    <w:r>
      <w:rPr>
        <w:sz w:val="12"/>
        <w:lang w:eastAsia="en-US"/>
      </w:rPr>
      <w:fldChar w:fldCharType="end"/>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/mnt/main-storage/datasets/enron-docs/doc/MasterOptionPurch1A.doc</w:t>
    </w:r>
    <w:r>
      <w:rPr>
        <w:sz w:val="12"/>
        <w:lang w:eastAsia="en-US"/>
      </w:rPr>
      <w:fldChar w:fldCharType="end"/>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2430" w:leader="none"/>
        <w:tab w:val="left" w:pos="5310" w:leader="none"/>
        <w:tab w:val="right" w:pos="8640" w:leader="none"/>
        <w:tab w:val="right" w:pos="10800" w:leader="none"/>
      </w:tabs>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/mnt/main-storage/datasets/enron-docs/doc/MasterOptionPurch1A.doc</w:t>
    </w:r>
    <w:r>
      <w:rPr>
        <w:sz w:val="12"/>
        <w:lang w:eastAsia="en-US"/>
      </w:rPr>
      <w:fldChar w:fldCharType="end"/>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/mnt/main-storage/datasets/enron-docs/doc/MasterOptionPurch1A.doc</w:t>
    </w:r>
    <w:r>
      <w:rPr>
        <w:sz w:val="12"/>
        <w:lang w:eastAsia="en-U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tabs>
          <w:tab w:val="clear" w:pos="540"/>
          <w:tab w:val="left" w:pos="1260" w:leader="none"/>
        </w:tabs>
        <w:ind w:start="720" w:end="720"/>
        <w:rPr/>
      </w:pPr>
      <w:r>
        <w:rPr>
          <w:rStyle w:val="FootnoteCharacters"/>
        </w:rPr>
        <w:footnoteRef/>
      </w:r>
      <w:r>
        <w:rPr/>
        <w:t xml:space="preserve"> </w:t>
      </w:r>
      <w:r>
        <w:rPr>
          <w:sz w:val="16"/>
        </w:rPr>
        <w:t>As a note, under Exhibit 4.1(a), EPMI has the following obligation: "Before each Seasonal Delivery Period Seller shall notify Buyer if Seller does not intend to use a particular Delivery Point or the full amount at a particular Delivery Point."  We may want to examine the potential impact of this requirement on TVA.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5400" w:leader="none"/>
        <w:tab w:val="right" w:pos="10620" w:leader="none"/>
      </w:tabs>
      <w:rPr>
        <w:sz w:val="20"/>
      </w:rPr>
    </w:pP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sz w:val="20"/>
      </w:rPr>
      <w:t>11</w:t>
    </w:r>
    <w:r>
      <w:rPr>
        <w:sz w:val="20"/>
      </w:rPr>
      <w:fldChar w:fldCharType="end"/>
    </w:r>
  </w:p>
  <w:p>
    <w:pPr>
      <w:pStyle w:val="Header"/>
      <w:tabs>
        <w:tab w:val="clear" w:pos="8640"/>
        <w:tab w:val="center" w:pos="4320" w:leader="none"/>
        <w:tab w:val="right" w:pos="10620" w:leader="none"/>
      </w:tabs>
      <w:spacing w:before="120" w:after="0"/>
      <w:jc w:val="end"/>
      <w:rPr>
        <w:b/>
        <w:sz w:val="20"/>
      </w:rPr>
    </w:pPr>
    <w:r>
      <w:rPr>
        <w:b/>
        <w:sz w:val="20"/>
      </w:rPr>
      <w:t>Confidential; Attorney Client</w:t>
    </w:r>
  </w:p>
  <w:p>
    <w:pPr>
      <w:pStyle w:val="Header"/>
      <w:tabs>
        <w:tab w:val="clear" w:pos="8640"/>
        <w:tab w:val="center" w:pos="4320" w:leader="none"/>
        <w:tab w:val="right" w:pos="10620" w:leader="none"/>
      </w:tabs>
      <w:jc w:val="end"/>
      <w:rPr>
        <w:b/>
        <w:sz w:val="20"/>
      </w:rPr>
    </w:pPr>
    <w:r>
      <w:rPr>
        <w:b/>
        <w:sz w:val="20"/>
      </w:rPr>
      <w:t>Privilege; Work Product;</w:t>
    </w:r>
  </w:p>
  <w:p>
    <w:pPr>
      <w:pStyle w:val="Header"/>
      <w:tabs>
        <w:tab w:val="clear" w:pos="8640"/>
        <w:tab w:val="center" w:pos="4320" w:leader="none"/>
        <w:tab w:val="right" w:pos="10620" w:leader="none"/>
      </w:tabs>
      <w:spacing w:before="0" w:after="360"/>
      <w:jc w:val="end"/>
      <w:rPr>
        <w:b/>
        <w:sz w:val="20"/>
      </w:rPr>
    </w:pPr>
    <w:r>
      <w:rPr>
        <w:b/>
        <w:sz w:val="20"/>
      </w:rPr>
      <w:t>Not Discoverable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635</wp:posOffset>
              </wp:positionV>
              <wp:extent cx="3877310" cy="93726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937260"/>
                      </a:xfrm>
                      <a:prstGeom prst="rect"/>
                      <a:solidFill>
                        <a:srgbClr val="FFFFFF">
                          <a:alpha val="0"/>
                        </a:srgbClr>
                      </a:solidFill>
                    </wps:spPr>
                    <wps:txbx>
                      <w:txbxContent>
                        <w:p>
                          <w:pPr>
                            <w:pStyle w:val="Normal"/>
                            <w:ind w:start="3600" w:end="0"/>
                            <w:rPr>
                              <w:b/>
                              <w:sz w:val="32"/>
                            </w:rPr>
                          </w:pPr>
                          <w:r>
                            <w:rPr>
                              <w:b/>
                              <w:sz w:val="32"/>
                            </w:rPr>
                            <w:t>Interoffice</w:t>
                          </w:r>
                        </w:p>
                        <w:p>
                          <w:pPr>
                            <w:pStyle w:val="Normal"/>
                            <w:ind w:start="3600" w:end="0"/>
                            <w:rPr>
                              <w:b/>
                              <w:sz w:val="32"/>
                            </w:rPr>
                          </w:pPr>
                          <w:r>
                            <w:rPr>
                              <w:b/>
                              <w:sz w:val="32"/>
                            </w:rPr>
                            <w:t>Memorandum</w:t>
                          </w:r>
                        </w:p>
                        <w:p>
                          <w:pPr>
                            <w:pStyle w:val="Normal"/>
                            <w:ind w:start="3600" w:end="0"/>
                            <w:rPr>
                              <w:b/>
                              <w:sz w:val="32"/>
                            </w:rPr>
                          </w:pPr>
                          <w:r>
                            <w:rPr>
                              <w:b/>
                              <w:sz w:val="32"/>
                            </w:rPr>
                          </w:r>
                        </w:p>
                        <w:p>
                          <w:pPr>
                            <w:pStyle w:val="Normal"/>
                            <w:ind w:start="3600" w:end="0"/>
                            <w:rPr>
                              <w:b/>
                              <w:sz w:val="32"/>
                            </w:rPr>
                          </w:pPr>
                          <w:r>
                            <w:rPr>
                              <w:b/>
                              <w:sz w:val="32"/>
                            </w:rPr>
                            <w:t>Draft</w:t>
                          </w:r>
                        </w:p>
                      </w:txbxContent>
                    </wps:txbx>
                    <wps:bodyPr anchor="t" lIns="0" tIns="0" rIns="0" bIns="0">
                      <a:noAutofit/>
                    </wps:bodyPr>
                  </wps:wsp>
                </a:graphicData>
              </a:graphic>
            </wp:anchor>
          </w:drawing>
        </mc:Choice>
        <mc:Fallback>
          <w:pict>
            <v:rect fillcolor="#FFFFFF" style="position:absolute;rotation:-0;width:305.3pt;height:73.8pt;mso-wrap-distance-left:9.35pt;mso-wrap-distance-right:9.35pt;mso-wrap-distance-top:0pt;mso-wrap-distance-bottom:0pt;margin-top:0.05pt;mso-position-vertical-relative:text;margin-left:201.3pt;mso-position-horizontal-relative:page">
              <v:fill opacity="0f"/>
              <v:textbox inset="0in,0in,0in,0in">
                <w:txbxContent>
                  <w:p>
                    <w:pPr>
                      <w:pStyle w:val="Normal"/>
                      <w:ind w:start="3600" w:end="0"/>
                      <w:rPr>
                        <w:b/>
                        <w:sz w:val="32"/>
                      </w:rPr>
                    </w:pPr>
                    <w:r>
                      <w:rPr>
                        <w:b/>
                        <w:sz w:val="32"/>
                      </w:rPr>
                      <w:t>Interoffice</w:t>
                    </w:r>
                  </w:p>
                  <w:p>
                    <w:pPr>
                      <w:pStyle w:val="Normal"/>
                      <w:ind w:start="3600" w:end="0"/>
                      <w:rPr>
                        <w:b/>
                        <w:sz w:val="32"/>
                      </w:rPr>
                    </w:pPr>
                    <w:r>
                      <w:rPr>
                        <w:b/>
                        <w:sz w:val="32"/>
                      </w:rPr>
                      <w:t>Memorandum</w:t>
                    </w:r>
                  </w:p>
                  <w:p>
                    <w:pPr>
                      <w:pStyle w:val="Normal"/>
                      <w:ind w:start="3600" w:end="0"/>
                      <w:rPr>
                        <w:b/>
                        <w:sz w:val="32"/>
                      </w:rPr>
                    </w:pPr>
                    <w:r>
                      <w:rPr>
                        <w:b/>
                        <w:sz w:val="32"/>
                      </w:rPr>
                    </w:r>
                  </w:p>
                  <w:p>
                    <w:pPr>
                      <w:pStyle w:val="Normal"/>
                      <w:ind w:start="3600" w:end="0"/>
                      <w:rPr>
                        <w:b/>
                        <w:sz w:val="32"/>
                      </w:rPr>
                    </w:pPr>
                    <w:r>
                      <w:rPr>
                        <w:b/>
                        <w:sz w:val="32"/>
                      </w:rPr>
                      <w:t>Draft</w:t>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5400" w:leader="none"/>
        <w:tab w:val="right" w:pos="10620" w:leader="none"/>
      </w:tabs>
      <w:rPr/>
    </w:pP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Header"/>
      <w:tabs>
        <w:tab w:val="clear" w:pos="8640"/>
        <w:tab w:val="center" w:pos="4320" w:leader="none"/>
        <w:tab w:val="right" w:pos="10620" w:leader="none"/>
      </w:tabs>
      <w:spacing w:before="120" w:after="0"/>
      <w:jc w:val="end"/>
      <w:rPr>
        <w:b/>
        <w:sz w:val="20"/>
      </w:rPr>
    </w:pPr>
    <w:r>
      <w:rPr>
        <w:b/>
        <w:sz w:val="20"/>
      </w:rPr>
      <w:t>Confidential; Attorney Client</w:t>
    </w:r>
  </w:p>
  <w:p>
    <w:pPr>
      <w:pStyle w:val="Header"/>
      <w:tabs>
        <w:tab w:val="clear" w:pos="8640"/>
        <w:tab w:val="center" w:pos="4320" w:leader="none"/>
        <w:tab w:val="right" w:pos="10620" w:leader="none"/>
      </w:tabs>
      <w:jc w:val="end"/>
      <w:rPr>
        <w:b/>
        <w:sz w:val="20"/>
      </w:rPr>
    </w:pPr>
    <w:r>
      <w:rPr>
        <w:b/>
        <w:sz w:val="20"/>
      </w:rPr>
      <w:t>Privilege; Work Product;</w:t>
    </w:r>
  </w:p>
  <w:p>
    <w:pPr>
      <w:pStyle w:val="Header"/>
      <w:tabs>
        <w:tab w:val="clear" w:pos="8640"/>
        <w:tab w:val="center" w:pos="4320" w:leader="none"/>
        <w:tab w:val="right" w:pos="10620" w:leader="none"/>
      </w:tabs>
      <w:spacing w:before="0" w:after="360"/>
      <w:jc w:val="end"/>
      <w:rPr>
        <w:b/>
        <w:sz w:val="20"/>
      </w:rPr>
    </w:pPr>
    <w:r>
      <w:rPr>
        <w:b/>
        <w:sz w:val="20"/>
      </w:rPr>
      <w:t>Not Discoverable</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6z0">
    <w:name w:val="WW8Num16z0"/>
    <w:qFormat/>
    <w:rPr>
      <w:rFonts w:ascii="Times New Roman" w:hAnsi="Times New Roman" w:cs="Times New Roman"/>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rPr>
  </w:style>
  <w:style w:type="character" w:styleId="WW8Num35z0">
    <w:name w:val="WW8Num35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1999-03-01T12:42:00Z</dcterms:created>
  <dc:creator>Jeff Ford</dc:creator>
  <dc:description/>
  <dc:language>en-CA</dc:language>
  <cp:lastModifiedBy>Brenda Whitehead</cp:lastModifiedBy>
  <cp:lastPrinted>1999-03-08T10:54:00Z</cp:lastPrinted>
  <dcterms:modified xsi:type="dcterms:W3CDTF">1999-03-08T14:25:00Z</dcterms:modified>
  <cp:revision>13</cp:revision>
  <dc:subject>Analysis of ECT's Financial, Power and Gas Forms</dc:subject>
  <dc:title>Eron Capital &amp; Trade Resources Memo</dc:title>
</cp:coreProperties>
</file>