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rPr>
      </w:pPr>
      <w:r>
        <w:rPr>
          <w:b/>
          <w:bCs/>
          <w:sz w:val="24"/>
        </w:rPr>
      </w:r>
    </w:p>
    <w:p>
      <w:pPr>
        <w:pStyle w:val="Normal"/>
        <w:jc w:val="center"/>
        <w:rPr>
          <w:b/>
          <w:bCs/>
          <w:sz w:val="24"/>
          <w:u w:val="single"/>
        </w:rPr>
      </w:pPr>
      <w:r>
        <w:rPr>
          <w:b/>
          <w:bCs/>
          <w:sz w:val="24"/>
          <w:u w:val="single"/>
        </w:rPr>
        <w:t>DRAFT 1/29/01</w:t>
      </w:r>
    </w:p>
    <w:p>
      <w:pPr>
        <w:pStyle w:val="Normal"/>
        <w:jc w:val="both"/>
        <w:rPr>
          <w:b/>
          <w:bCs/>
          <w:sz w:val="22"/>
          <w:u w:val="single"/>
        </w:rPr>
      </w:pPr>
      <w:r>
        <w:rPr>
          <w:b/>
          <w:bCs/>
          <w:sz w:val="22"/>
          <w:u w:val="single"/>
        </w:rPr>
      </w:r>
    </w:p>
    <w:p>
      <w:pPr>
        <w:pStyle w:val="Normal"/>
        <w:jc w:val="both"/>
        <w:rPr>
          <w:b/>
          <w:bCs/>
          <w:sz w:val="22"/>
        </w:rPr>
      </w:pPr>
      <w:r>
        <w:rPr>
          <w:b/>
          <w:bCs/>
          <w:sz w:val="22"/>
        </w:rPr>
        <w:t xml:space="preserve">USER NOTES:  PRIOR TO USE EACH UNDERLYING MASTER AGREEMENT TO BE INCLUDED HEREIN MUST BE REVIEWED AND ASSESSED FOR ITS APPROPRIATENESS TO BE INCLUDED.  FOR EXAMPLE:  IF PHYSICAL, IS ANY TRANSACTION RELATED TO ANY TYPE OF BACK TO BACK FACILITY? OR IF FINANCIAL OR PHYSICAL, ARE ANY OF THE TRANSACTIONS RELATED TO A STRUCTURED FINANCE TRANSACTION OR OTHER ONE-OFF TYPE OF STRUCTURE SUCH AS A PRODUCTION PAYMENT?  CONFIRM THAT THE TYPE OF AGREEMENT BEING INCLUDED IS A SAFE-HARBORED AGREEMENT (PRIMARILY FORWARDS/SWAPS).  </w:t>
      </w:r>
    </w:p>
    <w:p>
      <w:pPr>
        <w:pStyle w:val="Normal"/>
        <w:jc w:val="both"/>
        <w:rPr>
          <w:b/>
          <w:bCs/>
          <w:sz w:val="22"/>
        </w:rPr>
      </w:pPr>
      <w:r>
        <w:rPr>
          <w:b/>
          <w:bCs/>
          <w:sz w:val="22"/>
        </w:rPr>
      </w:r>
    </w:p>
    <w:p>
      <w:pPr>
        <w:pStyle w:val="Normal"/>
        <w:jc w:val="both"/>
        <w:rPr/>
      </w:pPr>
      <w:r>
        <w:rPr>
          <w:b/>
          <w:bCs/>
          <w:sz w:val="22"/>
        </w:rPr>
        <w:t xml:space="preserve">ABSENT SPECIAL CIRCUMSTANCES, EACH UNDERLYING MASTER AGREEMENT (1) </w:t>
      </w:r>
      <w:r>
        <w:rPr>
          <w:b/>
          <w:bCs/>
          <w:sz w:val="22"/>
          <w:u w:val="single"/>
        </w:rPr>
        <w:t>SHOULD</w:t>
      </w:r>
      <w:r>
        <w:rPr>
          <w:b/>
          <w:bCs/>
          <w:sz w:val="22"/>
        </w:rPr>
        <w:t xml:space="preserve"> INCLUDE TWO WAY PAYMENT, A/K/A SECOND METHOD UNDER ISDA, FOR TERMINATION PAYMENTS, AND (2) AND CHERRY-PICKING UPON TERMINATION </w:t>
      </w:r>
      <w:r>
        <w:rPr>
          <w:b/>
          <w:bCs/>
          <w:sz w:val="22"/>
          <w:u w:val="single"/>
        </w:rPr>
        <w:t>SHOULD NOT</w:t>
      </w:r>
      <w:r>
        <w:rPr>
          <w:b/>
          <w:bCs/>
          <w:sz w:val="22"/>
        </w:rPr>
        <w:t xml:space="preserve"> BE ALLOWED.  THE UNDERLYING MASTER AGREEMENTS MAY BE AMENDED TO PROVIDE FOR SAME.  ANY USE OF THIS AGREEMENT REQUIRES THE INITIAL OF LEGAL DEPARTMENT HEAD OF EACH PARTICIPATING TRADING GROUP.  </w:t>
      </w:r>
    </w:p>
    <w:p>
      <w:pPr>
        <w:pStyle w:val="Normal"/>
        <w:jc w:val="both"/>
        <w:rPr>
          <w:b/>
          <w:bCs/>
          <w:sz w:val="22"/>
        </w:rPr>
      </w:pPr>
      <w:r>
        <w:rPr>
          <w:b/>
          <w:bCs/>
          <w:sz w:val="22"/>
        </w:rPr>
      </w:r>
    </w:p>
    <w:p>
      <w:pPr>
        <w:pStyle w:val="Normal"/>
        <w:jc w:val="both"/>
        <w:rPr>
          <w:b/>
          <w:bCs/>
          <w:sz w:val="22"/>
        </w:rPr>
      </w:pPr>
      <w:r>
        <w:rPr>
          <w:b/>
          <w:bCs/>
          <w:sz w:val="22"/>
        </w:rPr>
        <w:t>ALL LETTERS OF CREDIT CURRENTLY POSTED SHOULD BE CHANGED TO REFLECT ALL RELEVANT ENTITIES AS BENEFICIARIES AND ALLOW JOINT AND SEVERAL DRAWS ON THE LETTER OF CREDIT CONTEMPORANEOUSLY WITH THE EXECUTION OF THIS AGREEMENT.</w:t>
      </w:r>
    </w:p>
    <w:p>
      <w:pPr>
        <w:pStyle w:val="Normal"/>
        <w:jc w:val="both"/>
        <w:rPr>
          <w:b/>
          <w:bCs/>
          <w:sz w:val="22"/>
        </w:rPr>
      </w:pPr>
      <w:r>
        <w:rPr>
          <w:b/>
          <w:bCs/>
          <w:sz w:val="22"/>
        </w:rPr>
      </w:r>
    </w:p>
    <w:p>
      <w:pPr>
        <w:pStyle w:val="Normal"/>
        <w:jc w:val="both"/>
        <w:rPr>
          <w:b/>
          <w:bCs/>
          <w:sz w:val="22"/>
        </w:rPr>
      </w:pPr>
      <w:r>
        <w:rPr>
          <w:b/>
          <w:bCs/>
          <w:sz w:val="22"/>
        </w:rPr>
        <w:t>IF THERE ARE ANY INDEPENDENT AMOUNTS (UP FRONT POSTED COLLATERAL WHICH ACTS AS A NEGATIVE EXPOSURE) A SPECIAL PROVISION SHOULD BE INCLUDED EVIDENCING THE AGREEMENT OF THE PARTIES IN RESPECT THEREOF.</w:t>
      </w:r>
    </w:p>
    <w:p>
      <w:pPr>
        <w:pStyle w:val="Normal"/>
        <w:jc w:val="both"/>
        <w:rPr>
          <w:b/>
          <w:bCs/>
          <w:sz w:val="22"/>
        </w:rPr>
      </w:pPr>
      <w:r>
        <w:rPr>
          <w:b/>
          <w:bCs/>
          <w:sz w:val="22"/>
        </w:rPr>
      </w:r>
    </w:p>
    <w:p>
      <w:pPr>
        <w:pStyle w:val="Normal"/>
        <w:jc w:val="both"/>
        <w:rPr>
          <w:b/>
          <w:bCs/>
          <w:sz w:val="22"/>
        </w:rPr>
      </w:pPr>
      <w:r>
        <w:rPr>
          <w:b/>
          <w:bCs/>
          <w:sz w:val="22"/>
        </w:rPr>
        <w:t>CONSIDER CROSS-BORDER ISSUES, WITH PARTICULARITY, ENRON CANADA CORP.</w:t>
      </w:r>
    </w:p>
    <w:p>
      <w:pPr>
        <w:pStyle w:val="Normal"/>
        <w:jc w:val="both"/>
        <w:rPr>
          <w:b/>
          <w:bCs/>
          <w:sz w:val="22"/>
        </w:rPr>
      </w:pPr>
      <w:r>
        <w:rPr>
          <w:b/>
          <w:bCs/>
          <w:sz w:val="22"/>
        </w:rPr>
      </w:r>
    </w:p>
    <w:p>
      <w:pPr>
        <w:pStyle w:val="Normal"/>
        <w:jc w:val="both"/>
        <w:rPr>
          <w:sz w:val="22"/>
        </w:rPr>
      </w:pPr>
      <w:r>
        <w:rPr>
          <w:sz w:val="22"/>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xml:space="preserve">") is made and entered into effective as of _______________, 200_ by and between </w:t>
      </w:r>
      <w:r>
        <w:rPr>
          <w:b/>
          <w:bCs/>
          <w:sz w:val="22"/>
        </w:rPr>
        <w:t>[</w:t>
      </w:r>
      <w:r>
        <w:rPr>
          <w:sz w:val="22"/>
        </w:rPr>
        <w:t>among</w:t>
      </w:r>
      <w:r>
        <w:rPr>
          <w:b/>
          <w:bCs/>
          <w:sz w:val="22"/>
        </w:rPr>
        <w:t>]</w:t>
      </w:r>
      <w:r>
        <w:rPr>
          <w:sz w:val="22"/>
        </w:rPr>
        <w:t xml:space="preserve"> </w:t>
      </w:r>
      <w:r>
        <w:rPr>
          <w:b/>
          <w:bCs/>
          <w:sz w:val="22"/>
        </w:rPr>
        <w:t>[</w:t>
      </w:r>
      <w:r>
        <w:rPr>
          <w:sz w:val="22"/>
        </w:rPr>
        <w:t>list counterparty X and each affiliated party to this agreement, each with acronym</w:t>
      </w:r>
      <w:r>
        <w:rPr>
          <w:b/>
          <w:bCs/>
          <w:sz w:val="22"/>
        </w:rPr>
        <w:t>]</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w:t>
      </w:r>
      <w:r>
        <w:rPr>
          <w:sz w:val="22"/>
        </w:rPr>
        <w:t>list any other Enron entities, each with acronym</w:t>
      </w:r>
      <w:r>
        <w:rPr>
          <w:b/>
          <w:bCs/>
          <w:sz w:val="22"/>
        </w:rPr>
        <w:t>]</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and the Physical Power Master Agreement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any Counterparty Party under any one or more of the Underlying Master Agreements as herein specified, including, without limitation, by permitting Enron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forward contracts, commodities contracts, repurchase agreements, or swap agreements.  Each Counterparty Party desires now to provide in this Agreement for its right to terminate, liquidate, net, setoff, and apply Collateral upon a Default by any Enron Party under any one or more of the Underlying Master Agreements as herein specified, including, without limitation, by permitting Counterparty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forward contracts, commodities contracts, repurchase agreements, or swap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the Parties agree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Defined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Normal"/>
        <w:jc w:val="both"/>
        <w:rPr>
          <w:sz w:val="22"/>
        </w:rPr>
      </w:pPr>
      <w:r>
        <w:rPr>
          <w:sz w:val="22"/>
        </w:rPr>
      </w:r>
    </w:p>
    <w:p>
      <w:pPr>
        <w:pStyle w:val="OmniPage2"/>
        <w:ind w:firstLine="720" w:end="0"/>
        <w:jc w:val="both"/>
        <w:rPr/>
      </w:pPr>
      <w:r>
        <w:rPr>
          <w:sz w:val="22"/>
        </w:rPr>
        <w:t>"</w:t>
      </w:r>
      <w:r>
        <w:rPr>
          <w:sz w:val="22"/>
          <w:u w:val="single"/>
        </w:rPr>
        <w:t>Code</w:t>
      </w:r>
      <w:r>
        <w:rPr>
          <w:sz w:val="22"/>
        </w:rPr>
        <w:t>" means the United States Bankruptcy Code, 11 U.S.C. §§101</w:t>
        <w:noBreakHyphen/>
        <w:t>1330.</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Collateral</w:t>
      </w:r>
      <w:r>
        <w:rPr>
          <w:sz w:val="22"/>
        </w:rPr>
        <w:t>" has the meaning set forth in Section 6.</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OmniPage2"/>
        <w:ind w:firstLine="720" w:end="0"/>
        <w:jc w:val="both"/>
        <w:rPr/>
      </w:pPr>
      <w:r>
        <w:rPr>
          <w:sz w:val="22"/>
        </w:rPr>
        <w:t>"</w:t>
      </w:r>
      <w:r>
        <w:rPr>
          <w:sz w:val="22"/>
          <w:u w:val="single"/>
        </w:rPr>
        <w:t>Debt</w:t>
      </w:r>
      <w:r>
        <w:rPr>
          <w:sz w:val="22"/>
        </w:rPr>
        <w:t>" has the meaning set forth in Section 101 of the Code.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Enron Party when a Default has occurred with respect to any Enron Party ("</w:t>
      </w:r>
      <w:r>
        <w:rPr>
          <w:sz w:val="22"/>
          <w:u w:val="single"/>
        </w:rPr>
        <w:t>Defaulting Enron Party</w:t>
      </w:r>
      <w:r>
        <w:rPr>
          <w:sz w:val="22"/>
        </w:rPr>
        <w:t>), and Counterparty Party when a Default has occurred with respect to any Counterparty Party ("</w:t>
      </w:r>
      <w:r>
        <w:rPr>
          <w:sz w:val="22"/>
          <w:u w:val="single"/>
        </w:rPr>
        <w:t>Defaulting Counterparty Party</w:t>
      </w:r>
      <w:r>
        <w:rPr>
          <w:sz w:val="22"/>
        </w:rPr>
        <w:t>").</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Exposure Threshold</w:t>
      </w:r>
      <w:r>
        <w:rPr>
          <w:sz w:val="22"/>
        </w:rPr>
        <w:t>" has the meaning set forth in Section 6.</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Final Settlement Amount</w:t>
      </w:r>
      <w:r>
        <w:rPr>
          <w:sz w:val="22"/>
        </w:rPr>
        <w:t>" has the meaning set forth in Section 4.</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Letters of Credit</w:t>
      </w:r>
      <w:r>
        <w:rPr>
          <w:sz w:val="22"/>
        </w:rPr>
        <w:t>" has the meaning set forth in Section 6.</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Enron Party when a Default has occurred with respect to any Counterparty Party and Counterparty Party when a Default has occurred with respect to any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any Counterparty Party owes to any Enron Party or any Enron Party owes to any Counterparty Party, whether financial or physical including, without limitation, payment and delivery obligations, each and every obligation or requirement under an Underlying Master Agreement, a Transaction, or hereunder, any Debt, any obligation arising under a guarantee that any Counterparty Party has provided to any Enron Party or than any Enron Party has provided to any Counterparty Party, and each and every obligation or requirement under any Transaction, Underlying Master Agreement, or this Agreement to maintain or deliver Collateral with respect thereto (whether or not performance is due) or in connection with a guarantee, or acceleration, cancellation, termination, or liquidation of a guarantee, whether arising under an Underlying Master Agreement, this Agreement, heretofore or hereafter, and whether fixed, matured, unmatured, liquidated, unliquidated, or contingent.</w:t>
      </w:r>
    </w:p>
    <w:p>
      <w:pPr>
        <w:pStyle w:val="Normal"/>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w:t>
      </w:r>
      <w:r>
        <w:rPr>
          <w:sz w:val="22"/>
        </w:rPr>
        <w:t>list other party acronyms</w:t>
      </w:r>
      <w:r>
        <w:rPr>
          <w:b/>
          <w:bCs/>
          <w:sz w:val="22"/>
        </w:rPr>
        <w:t>]</w:t>
      </w:r>
      <w:r>
        <w:rPr>
          <w:sz w:val="22"/>
        </w:rPr>
        <w:t xml:space="preserve">, X, </w:t>
      </w:r>
      <w:r>
        <w:rPr>
          <w:b/>
          <w:bCs/>
          <w:sz w:val="22"/>
        </w:rPr>
        <w:t>[</w:t>
      </w:r>
      <w:r>
        <w:rPr>
          <w:sz w:val="22"/>
        </w:rPr>
        <w:t>list other party acronyms</w:t>
      </w:r>
      <w:r>
        <w:rPr>
          <w:b/>
          <w:bCs/>
          <w:sz w:val="22"/>
        </w:rPr>
        <w:t>]</w:t>
      </w:r>
      <w:r>
        <w:rPr>
          <w:sz w:val="22"/>
        </w:rPr>
        <w:t xml:space="preserve"> as the context indicates.  "</w:t>
      </w:r>
      <w:r>
        <w:rPr>
          <w:sz w:val="22"/>
          <w:u w:val="single"/>
        </w:rPr>
        <w:t>Enron Party</w:t>
      </w:r>
      <w:r>
        <w:rPr>
          <w:sz w:val="22"/>
        </w:rPr>
        <w:t xml:space="preserve">" refers to ENA, EPMI, </w:t>
      </w:r>
      <w:r>
        <w:rPr>
          <w:b/>
          <w:bCs/>
          <w:sz w:val="22"/>
        </w:rPr>
        <w:t>[</w:t>
      </w:r>
      <w:r>
        <w:rPr>
          <w:sz w:val="22"/>
        </w:rPr>
        <w:t>list other acronyms</w:t>
      </w:r>
      <w:r>
        <w:rPr>
          <w:b/>
          <w:bCs/>
          <w:sz w:val="22"/>
        </w:rPr>
        <w:t>]</w:t>
      </w:r>
      <w:r>
        <w:rPr>
          <w:sz w:val="22"/>
        </w:rPr>
        <w:t>, and "</w:t>
      </w:r>
      <w:r>
        <w:rPr>
          <w:sz w:val="22"/>
          <w:u w:val="single"/>
        </w:rPr>
        <w:t>Counterparty Party</w:t>
      </w:r>
      <w:r>
        <w:rPr>
          <w:sz w:val="22"/>
        </w:rPr>
        <w:t xml:space="preserve">" refers to X, </w:t>
      </w:r>
      <w:r>
        <w:rPr>
          <w:b/>
          <w:bCs/>
          <w:sz w:val="22"/>
        </w:rPr>
        <w:t>[</w:t>
      </w:r>
      <w:r>
        <w:rPr>
          <w:sz w:val="22"/>
        </w:rPr>
        <w:t>list other acronyms</w:t>
      </w:r>
      <w:r>
        <w:rPr>
          <w:b/>
          <w:bCs/>
          <w:sz w:val="22"/>
        </w:rPr>
        <w:t>]</w:t>
      </w:r>
      <w:r>
        <w:rPr>
          <w:sz w:val="22"/>
        </w:rPr>
        <w:t>.</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Payor Party</w:t>
      </w:r>
      <w:r>
        <w:rPr>
          <w:sz w:val="22"/>
        </w:rPr>
        <w:t>" has the meaning set forth in Section 6.</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in respect of any Underlying Master Agreement, the net amount that is due and payable by one Party to the other Party upon (i) such agreement having been accelerated, terminated, liquidated, or cancelled (including by way of automatic early termination), (ii) the resulting Obligations of each Party having been determined, and (iii) in accordance with the applicable Underlying Master Agreement, those Obligations having been netted and reduced by the exercise of rights to apply margin or other credit support delivered under or held in connection with such agreement.</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 xml:space="preserve">(a) Each of the occurrence of a (i) default, event of default, or other event on the basis of which a Party has the contractual right to accelerate, terminate (including automatic early termination), liquidate, or cancel Transactions, in each foregoing case under the Financial Master Agreement, or (ii) default, event of default, or other event on the basis of which a Party has the contractual right to accelerate, terminate (including automatic early termination), liquidate, or cancel Transactions, in each foregoing case under only Sections </w:t>
      </w:r>
      <w:r>
        <w:rPr>
          <w:b/>
          <w:bCs/>
          <w:sz w:val="22"/>
        </w:rPr>
        <w:t>[</w:t>
      </w:r>
      <w:r>
        <w:rPr>
          <w:sz w:val="22"/>
        </w:rPr>
        <w:t>identify Sections</w:t>
      </w:r>
      <w:r>
        <w:rPr>
          <w:b/>
          <w:bCs/>
          <w:sz w:val="22"/>
        </w:rPr>
        <w:t>]</w:t>
      </w:r>
      <w:r>
        <w:rPr>
          <w:sz w:val="22"/>
        </w:rPr>
        <w:t xml:space="preserve"> of the Physical Gas Master Agreement and none other, or (iii) default, event of default, or other event on the basis of which a Party has the contractual right to accelerate, terminate (including automatic early termination), liquidate, or cancel Transactions, in each foregoing case under only Sections </w:t>
      </w:r>
      <w:r>
        <w:rPr>
          <w:b/>
          <w:bCs/>
          <w:sz w:val="22"/>
        </w:rPr>
        <w:t>[</w:t>
      </w:r>
      <w:r>
        <w:rPr>
          <w:sz w:val="22"/>
        </w:rPr>
        <w:t>identify Sections</w:t>
      </w:r>
      <w:r>
        <w:rPr>
          <w:b/>
          <w:bCs/>
          <w:sz w:val="22"/>
        </w:rPr>
        <w:t>]</w:t>
      </w:r>
      <w:r>
        <w:rPr>
          <w:sz w:val="22"/>
        </w:rPr>
        <w:t xml:space="preserve"> of the Physical Power Master Agreement and none other, or </w:t>
      </w:r>
      <w:r>
        <w:rPr>
          <w:b/>
          <w:bCs/>
          <w:sz w:val="22"/>
        </w:rPr>
        <w:t>[</w:t>
      </w:r>
      <w:r>
        <w:rPr>
          <w:sz w:val="22"/>
        </w:rPr>
        <w:t>add other agreements</w:t>
      </w:r>
      <w:r>
        <w:rPr>
          <w:b/>
          <w:bCs/>
          <w:sz w:val="22"/>
        </w:rPr>
        <w:t>]</w:t>
      </w:r>
      <w:r>
        <w:rPr>
          <w:sz w:val="22"/>
        </w:rPr>
        <w:t>, or</w:t>
      </w:r>
      <w:r>
        <w:rPr>
          <w:b/>
          <w:bCs/>
          <w:sz w:val="22"/>
        </w:rPr>
        <w:t xml:space="preserve"> </w:t>
      </w:r>
      <w:r>
        <w:rPr>
          <w:sz w:val="22"/>
        </w:rPr>
        <w:t>(iv) representation or warranty made or repeated by a Party hereunder proves to have been incorrect or misleading in any material respect when made or repeated, or (v) Party is in violation of a covenant made hereunder, constitutes a "</w:t>
      </w:r>
      <w:r>
        <w:rPr>
          <w:sz w:val="22"/>
          <w:u w:val="single"/>
        </w:rPr>
        <w:t>Default</w:t>
      </w:r>
      <w:r>
        <w:rPr>
          <w:sz w:val="22"/>
        </w:rPr>
        <w:t>" under this Agreement.</w:t>
      </w:r>
    </w:p>
    <w:p>
      <w:pPr>
        <w:pStyle w:val="OmniPage5"/>
        <w:ind w:firstLine="670" w:start="50" w:end="127"/>
        <w:jc w:val="both"/>
        <w:rPr>
          <w:sz w:val="22"/>
        </w:rPr>
      </w:pPr>
      <w:r>
        <w:rPr>
          <w:sz w:val="22"/>
        </w:rPr>
      </w:r>
    </w:p>
    <w:p>
      <w:pPr>
        <w:pStyle w:val="OmniPage5"/>
        <w:ind w:firstLine="670" w:start="50" w:end="127"/>
        <w:jc w:val="both"/>
        <w:rPr/>
      </w:pPr>
      <w:r>
        <w:rPr>
          <w:b/>
          <w:bCs/>
          <w:sz w:val="22"/>
        </w:rPr>
        <w:t xml:space="preserve">[Alternative approach to defining default utilizing exception schedules:  </w:t>
      </w:r>
      <w:r>
        <w:rPr>
          <w:sz w:val="22"/>
        </w:rPr>
        <w:t xml:space="preserve">(a) Each of the occurrence of a (i) default, event of default, or other event on the basis of which a Party has the contractual right to accelerate, terminate (including automatic early termination), liquidate, or cancel Transactions, in each foregoing case under the Financial Master Agreement, or (ii) default, event of default, or other event on the basis of which a Party has the contractual right to accelerate, terminate (including automatic early termination), liquidate, or cancel Transactions, in each foregoing case under the Physical Gas Master Agreement, except as stated in </w:t>
      </w:r>
      <w:r>
        <w:rPr>
          <w:sz w:val="22"/>
          <w:u w:val="single"/>
        </w:rPr>
        <w:t>Schedule 1</w:t>
      </w:r>
      <w:r>
        <w:rPr>
          <w:sz w:val="22"/>
        </w:rPr>
        <w:t xml:space="preserve"> hereto attached and made a part hereof for all purposes, or (iii) default, event of default, or other event on the basis of which a Party has the contractual right to accelerate, terminate (including automatic early termination), liquidate, or cancel Transactions, in each foregoing case under the Physical Power Master Agreement, except as stated in </w:t>
      </w:r>
      <w:r>
        <w:rPr>
          <w:sz w:val="22"/>
          <w:u w:val="single"/>
        </w:rPr>
        <w:t>Schedule 2</w:t>
      </w:r>
      <w:r>
        <w:rPr>
          <w:sz w:val="22"/>
        </w:rPr>
        <w:t xml:space="preserve"> hereto attached and made a part hereof for all purposes, or </w:t>
      </w:r>
      <w:r>
        <w:rPr>
          <w:b/>
          <w:bCs/>
          <w:sz w:val="22"/>
        </w:rPr>
        <w:t>[</w:t>
      </w:r>
      <w:r>
        <w:rPr>
          <w:sz w:val="22"/>
        </w:rPr>
        <w:t>( ) add other agreements</w:t>
      </w:r>
      <w:r>
        <w:rPr>
          <w:b/>
          <w:bCs/>
          <w:sz w:val="22"/>
        </w:rPr>
        <w:t>]</w:t>
      </w:r>
      <w:r>
        <w:rPr>
          <w:sz w:val="22"/>
        </w:rPr>
        <w:t>, or</w:t>
      </w:r>
      <w:r>
        <w:rPr>
          <w:b/>
          <w:bCs/>
          <w:sz w:val="22"/>
        </w:rPr>
        <w:t xml:space="preserve"> </w:t>
      </w:r>
      <w:r>
        <w:rPr>
          <w:sz w:val="22"/>
        </w:rPr>
        <w:t>(iv) representation or warranty made or repeated by a Party hereunder proves to have been incorrect or misleading in any material respect when made or repeated, or (v) Party is in violation of a covenant made hereunder, constitutes a "</w:t>
      </w:r>
      <w:r>
        <w:rPr>
          <w:sz w:val="22"/>
          <w:u w:val="single"/>
        </w:rPr>
        <w:t>Default</w:t>
      </w:r>
      <w:r>
        <w:rPr>
          <w:sz w:val="22"/>
        </w:rPr>
        <w:t>" under this Agreement.</w:t>
      </w:r>
      <w:r>
        <w:rPr>
          <w:b/>
          <w:bCs/>
          <w:sz w:val="22"/>
        </w:rPr>
        <w:t>]</w:t>
      </w:r>
    </w:p>
    <w:p>
      <w:pPr>
        <w:pStyle w:val="OmniPage5"/>
        <w:ind w:firstLine="670" w:start="50" w:end="127"/>
        <w:jc w:val="both"/>
        <w:rPr>
          <w:b/>
          <w:bCs/>
          <w:sz w:val="22"/>
        </w:rPr>
      </w:pPr>
      <w:r>
        <w:rPr>
          <w:b/>
          <w:bCs/>
          <w:sz w:val="22"/>
        </w:rPr>
      </w:r>
    </w:p>
    <w:p>
      <w:pPr>
        <w:pStyle w:val="OmniPage5"/>
        <w:tabs>
          <w:tab w:val="left" w:pos="720" w:leader="none"/>
          <w:tab w:val="right" w:pos="9389" w:leader="none"/>
        </w:tabs>
        <w:ind w:start="52" w:end="0"/>
        <w:jc w:val="both"/>
        <w:rPr/>
      </w:pPr>
      <w:r>
        <w:rPr>
          <w:sz w:val="22"/>
        </w:rPr>
        <w:tab/>
        <w:t>(b) Upon the occurrence and continuance of a Default in respect of any Enron Party (Defaulting Enron Party), or any Counterparty Party (Defaulting Counterparty Party), each Counterparty Party or each Enron Party, respectively, may, without prior notice, (i) consider and declare each Enron Party, or each Counterparty Party, respectively, in default of any or all of the Underlying Master Agreements and any or all Transactions thereunder and accelerate, cancel, terminate, and liquidate, or otherwise close-out all Transactions therewith; (ii) with respect to a Defaulting Enron Party, setoff, net, and/or recoup each Counterparty Party's Obligations to any Enron Party against each Enron Party's Obligations to any Counterparty Party, or with respect to a Defaulting Counterparty Party, setoff, net, and/or recoup each Enron Party's Obligations to any Counterparty Party against each Counterparty Party's Obligations to any Enron Party; (iii) retain any Collateral; (iv) with respect to a Defaulting Enron Party, withhold payment and performance of any Counterparty Party's Obligations to any Enron Party to pay, secure, setoff against, net, and/or recoup any Enron Party's Obligations to any Counterparty Party, or with respect to a Defaulting Counterparty Party, withhold payment and performance of any Enron Party's Obligations to any Counterparty Party to pay, secure, setoff against, net, and/or recoup any Counterparty Party's Obligations to any Enron Party; (v) foreclose, collect, sell, or otherwise liquidate any Collateral in any  order and at any time, and apply the proceeds thereof to satisfy any Enron Party's Obligation to any Counterparty Party or any Counterparty Party's Obligation to any Enron Party, respectively; (vi) convert any Obligation from one currency into another currency as set forth in Section 5; and (vii) take any other action permitted by law or in equity or by any Transaction necessary or appropriate to protect, preserve, or enforce its rights or to reduce any risk of loss or delay.  Any one or more of the foregoing acts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sz w:val="22"/>
        </w:rPr>
      </w:pPr>
      <w:r>
        <w:rPr>
          <w:sz w:val="22"/>
        </w:rPr>
        <w:tab/>
        <w:t xml:space="preserve">(c)  The election of Non-defaulting Party to cause the Underlying Master Agreements Close-Out may be made without prior notification to Defaulting Party; provided, Non-defaulting Party will notify Defaulting Party of the occurrence of the Underlying Master Agreements Close-Out within 10 days of its election and any requirements under the Underlying Master Agreements for accelerating, terminating, liquidating, canceling, or otherwise closing-out Transactions thereunder shall be satisfied by such notice, and each of the Underlying Master Agreements is hereby amended accordingly.  The failure to notify Defaulting Party within such time shall not affect Non-defaulting Party's rights hereunder.  If a Default occurs and Non-defaulting Party does not elect to cause the Underlying Master Agreements Close-Out, each Party shall retain its rights and obligations under each Underlying Master Agreement with respect thereto.        </w:t>
      </w:r>
    </w:p>
    <w:p>
      <w:pPr>
        <w:pStyle w:val="OmniPage5"/>
        <w:tabs>
          <w:tab w:val="left" w:pos="720" w:leader="none"/>
          <w:tab w:val="right" w:pos="9389" w:leader="none"/>
        </w:tabs>
        <w:ind w:start="52" w:end="0"/>
        <w:jc w:val="both"/>
        <w:rPr>
          <w:sz w:val="22"/>
        </w:rPr>
      </w:pPr>
      <w:r>
        <w:rPr>
          <w:sz w:val="22"/>
        </w:rPr>
      </w:r>
    </w:p>
    <w:p>
      <w:pPr>
        <w:pStyle w:val="OmniPage5"/>
        <w:ind w:firstLine="667" w:start="53" w:end="139"/>
        <w:jc w:val="both"/>
        <w:rPr/>
      </w:pPr>
      <w:r>
        <w:rPr>
          <w:b/>
          <w:sz w:val="22"/>
        </w:rPr>
        <w:t xml:space="preserve">3.  Setoff.  </w:t>
      </w:r>
      <w:r>
        <w:rPr>
          <w:sz w:val="22"/>
        </w:rPr>
        <w:t>Upon the occurrence and continuance of a Default in respect of any Enron Party (Defaulting Enron Party), each Counterparty Party may, without prior notice, setoff (including by set</w:t>
        <w:noBreakHyphen/>
        <w:t>off, offset, combination of accounts, retention, or withholding across or within each or all of the Underlying Master Agreements) any sum, amount, or Obligation (whether physically or financially settled, matured or unmatured) owed by any Counterparty Party to any Enron Party against any sum, amount, or Obligation (whether physically or financially settled, matured or unmatured) owed by any Enron Party to any Counterparty Party.  Upon the occurrence and continuance of a Default in respect of any Counterparty Party (Defaulting Counterparty Party), each Enron Party may, without prior notice, setoff (including by set</w:t>
        <w:noBreakHyphen/>
        <w:t xml:space="preserve">off, offset, combination of accounts, retention, or withholding across or within each or all of the Underlying Master Agreements) any sum, amount, or Obligation (whether physically or financially settled, matured or unmatured) owed by any Enron Party to any Counterparty Party against any sum, amount or Obligation (whether physically or financially settled, matured or unmatured) owed by any Counterparty Party to any Enron Party.  The foregoing is in addition to, and not in limitation of, any other right or remedy available to Non-defaulting Party (including any right of setoff, offset, combination of accounts, deduction, counterclaim, retention, or withholding), whether arising by agreement, including, without limitation, any of the Underlying Master Agreements and with particularity, rights therein with respect to any Enron Affiliate or any Counterparty Affiliate, applicable law, equity, or otherwise.  </w:t>
      </w:r>
    </w:p>
    <w:p>
      <w:pPr>
        <w:pStyle w:val="OmniPage5"/>
        <w:tabs>
          <w:tab w:val="left" w:pos="720" w:leader="none"/>
          <w:tab w:val="right" w:pos="9389" w:leader="none"/>
        </w:tabs>
        <w:ind w:start="52" w:end="0"/>
        <w:jc w:val="both"/>
        <w:rPr>
          <w:b/>
          <w:bCs/>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The Settlement Amount under each of the Underlying Master Agreements shall be determined in accordance with the terms of such agreement.  Upon such determination all Settlement Amounts shall be netted and reduced by the exercise of rights to apply margin or other credit support delivered under or held in connection therewith and pursuant to all rights granted in this Agreement (the "</w:t>
      </w:r>
      <w:r>
        <w:rPr>
          <w:sz w:val="22"/>
          <w:u w:val="single"/>
        </w:rPr>
        <w:t>Final Settlement Amount</w:t>
      </w:r>
      <w:r>
        <w:rPr>
          <w:sz w:val="22"/>
        </w:rPr>
        <w:t>"); provided, if a Settlement Amount has been setoff in whole or in part, such Settlement Amount, to the extent of such setoff, shall be deemed to have been discharged and no longer due under the relevant Underlying Master Agreement.  Upon determination of the Final Settlement Amount, Non-defaulting Party shall provide Defaulting Party with a statement showing the calculation of the Final Settlement Amount.  The Final Settlement Amount shall be payable by the Party from whom such payment is due on the third Business Day after the statement is provided.  In the event of a dispute as to the Final Settlement Amount payable by a Party, such Party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Security Interest and Lien; Letters of Credit; Collateral Margin.  </w:t>
      </w:r>
      <w:r>
        <w:rPr>
          <w:sz w:val="22"/>
        </w:rPr>
        <w:t xml:space="preserve">(a)  Each Enron Party hereby grants to each Counterparty Party a continuing security interest in and assigns (notwithstanding any limitation in any of the Underlying Master Agreements) to each Counterparty Party (i) all securities, monies, or other property now or hereafter held or carried by any Counterparty Party in any accounts of any Enron Party or otherwise held or subject to the control or dominion of any Counterparty Party or any agent thereof (including any margin posted) under the Underlying Master Agreements, (ii) any rights any Enron Party has in any Obligations of any Counterparty Party, and (iii) all proceeds of or distributions on any of the foregoing. </w:t>
      </w:r>
    </w:p>
    <w:p>
      <w:pPr>
        <w:pStyle w:val="OmniPage5"/>
        <w:ind w:firstLine="698" w:start="80" w:end="109"/>
        <w:jc w:val="both"/>
        <w:rPr>
          <w:sz w:val="22"/>
        </w:rPr>
      </w:pPr>
      <w:r>
        <w:rPr>
          <w:sz w:val="22"/>
        </w:rPr>
      </w:r>
    </w:p>
    <w:p>
      <w:pPr>
        <w:pStyle w:val="OmniPage5"/>
        <w:ind w:firstLine="698" w:start="80" w:end="109"/>
        <w:jc w:val="both"/>
        <w:rPr>
          <w:sz w:val="22"/>
        </w:rPr>
      </w:pPr>
      <w:r>
        <w:rPr>
          <w:sz w:val="22"/>
        </w:rPr>
        <w:t>(b)  Each Counterparty Party hereby grants to each Enron Party a continuing security interest in and assigns (notwithstanding any limitation in any of the Underlying Master Agreements) to each Enron Party (i) all securities, monies, or other property now or hereafter held or carried by any Enron Party in any accounts of any Counterparty Party or otherwise held or subject to the control or dominion of any Enron Party or any agent thereof (including any margin posted) under the Underlying Master Agreements, (ii) any rights any Counterparty Party has in any Obligations of any Enron Party, and (iii) all proceeds of or distributions on any of the foregoing.</w:t>
      </w:r>
    </w:p>
    <w:p>
      <w:pPr>
        <w:pStyle w:val="Normal"/>
        <w:jc w:val="both"/>
        <w:rPr>
          <w:sz w:val="22"/>
        </w:rPr>
      </w:pPr>
      <w:r>
        <w:rPr>
          <w:sz w:val="22"/>
        </w:rPr>
      </w:r>
    </w:p>
    <w:p>
      <w:pPr>
        <w:pStyle w:val="Normal"/>
        <w:jc w:val="both"/>
        <w:rPr/>
      </w:pPr>
      <w:r>
        <w:rPr>
          <w:sz w:val="22"/>
        </w:rPr>
        <w:tab/>
        <w:t>All property set forth in the foregoing paragraphs (a) and (b), and all letters of credit posted in respect of any Obligations ("</w:t>
      </w:r>
      <w:r>
        <w:rPr>
          <w:sz w:val="22"/>
          <w:u w:val="single"/>
        </w:rPr>
        <w:t>Letters of Credit</w:t>
      </w:r>
      <w:r>
        <w:rPr>
          <w:sz w:val="22"/>
        </w:rPr>
        <w:t>"), are referred to herein as "</w:t>
      </w:r>
      <w:r>
        <w:rPr>
          <w:sz w:val="22"/>
          <w:u w:val="single"/>
        </w:rPr>
        <w:t>Collateral</w:t>
      </w:r>
      <w:r>
        <w:rPr>
          <w:sz w:val="22"/>
        </w:rPr>
        <w:t>."</w:t>
      </w:r>
    </w:p>
    <w:p>
      <w:pPr>
        <w:pStyle w:val="Normal"/>
        <w:jc w:val="both"/>
        <w:rPr>
          <w:sz w:val="22"/>
        </w:rPr>
      </w:pPr>
      <w:r>
        <w:rPr>
          <w:sz w:val="22"/>
        </w:rPr>
      </w:r>
    </w:p>
    <w:p>
      <w:pPr>
        <w:pStyle w:val="OmniPage5"/>
        <w:ind w:firstLine="620" w:start="100" w:end="100"/>
        <w:jc w:val="both"/>
        <w:rPr>
          <w:sz w:val="22"/>
        </w:rPr>
      </w:pPr>
      <w:r>
        <w:rPr>
          <w:sz w:val="22"/>
        </w:rPr>
        <w:t xml:space="preserve">(c) All Collateral pledged by any Party in connection with a particular Transaction or Transactions shall secure first its Obligations under that Transaction or those Transactions, and second its Obligations under all other Transactions.  In furtherance of the foregoing, any Underlying Master Agreements more particularly describing any property that is Collateral is hereby incorporated by reference herein as if fully set forth herein.  </w:t>
      </w:r>
    </w:p>
    <w:p>
      <w:pPr>
        <w:pStyle w:val="OmniPage5"/>
        <w:ind w:firstLine="620" w:start="100" w:end="100"/>
        <w:jc w:val="both"/>
        <w:rPr>
          <w:sz w:val="22"/>
        </w:rPr>
      </w:pPr>
      <w:r>
        <w:rPr>
          <w:sz w:val="22"/>
        </w:rPr>
      </w:r>
    </w:p>
    <w:p>
      <w:pPr>
        <w:pStyle w:val="OmniPage5"/>
        <w:ind w:firstLine="620" w:start="100" w:end="100"/>
        <w:jc w:val="both"/>
        <w:rPr>
          <w:sz w:val="22"/>
        </w:rPr>
      </w:pPr>
      <w:r>
        <w:rPr>
          <w:sz w:val="22"/>
        </w:rPr>
        <w:t xml:space="preserve">(d)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  </w:t>
      </w:r>
    </w:p>
    <w:p>
      <w:pPr>
        <w:pStyle w:val="OmniPage5"/>
        <w:ind w:firstLine="620" w:start="100" w:end="100"/>
        <w:jc w:val="both"/>
        <w:rPr>
          <w:sz w:val="22"/>
        </w:rPr>
      </w:pPr>
      <w:r>
        <w:rPr>
          <w:sz w:val="22"/>
        </w:rPr>
      </w:r>
    </w:p>
    <w:p>
      <w:pPr>
        <w:pStyle w:val="OmniPage5"/>
        <w:ind w:firstLine="620" w:start="100" w:end="100"/>
        <w:jc w:val="both"/>
        <w:rPr>
          <w:sz w:val="22"/>
        </w:rPr>
      </w:pPr>
      <w:r>
        <w:rPr>
          <w:sz w:val="22"/>
        </w:rPr>
        <w:t>(e)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 xml:space="preserve">(f)  Notwithstanding any provisions of any of the Underlying Master Agreements, all Letters of Credit permitted as credit support thereunder issued for the account of any Counterparty Party shall name each Enron Party as a beneficiary thereof, and all Letters of Credit permitted as credit support thereunder issued for the account of any Enron Party shall name each Counterparty Party as a beneficiary thereof, and in each case shall provide for the joint and several right of each beneficiary to draw thereon upon the occurrence of a Default under this Agreement and any other drawing condition therein set forth.  The Parties agree and covenant to each other to forthwith and without delay cause the amendment or reestablishment of all Letters of Credit issued for its account pursuant to the Underlying Master Agreements in accordance with the foregoing criteria.  </w:t>
      </w:r>
    </w:p>
    <w:p>
      <w:pPr>
        <w:pStyle w:val="OmniPage5"/>
        <w:ind w:firstLine="620" w:start="100" w:end="100"/>
        <w:jc w:val="both"/>
        <w:rPr>
          <w:b/>
          <w:bCs/>
          <w:sz w:val="22"/>
        </w:rPr>
      </w:pPr>
      <w:r>
        <w:rPr>
          <w:b/>
          <w:bCs/>
          <w:sz w:val="22"/>
        </w:rPr>
      </w:r>
    </w:p>
    <w:p>
      <w:pPr>
        <w:pStyle w:val="OmniPage5"/>
        <w:ind w:firstLine="620" w:start="100" w:end="100"/>
        <w:jc w:val="both"/>
        <w:rPr/>
      </w:pPr>
      <w:r>
        <w:rPr>
          <w:sz w:val="22"/>
        </w:rPr>
        <w:t>(g)  Each Party to an Underlying Master Agreement agrees that the provisions thereof are hereby amended to replace the determination of separate Collateral requirements under each Underlying Master Agreement with the determination of an aggregate net Collateral requirement under all Underlying Master Agreements on the basis of the provisions of this Agreement.  The exposure thresholds applicable to Collateral requirements set forth in the Underlying Master Agreements shall not apply and the following exposure thresholds shall apply to the aggregate exposure under all of the Underlying Master Agreements (each, an "</w:t>
      </w:r>
      <w:r>
        <w:rPr>
          <w:sz w:val="22"/>
          <w:u w:val="single"/>
        </w:rPr>
        <w:t>Exposure Threshold</w:t>
      </w:r>
      <w:r>
        <w:rPr>
          <w:sz w:val="22"/>
        </w:rPr>
        <w:t>"):  w</w:t>
      </w:r>
      <w:r>
        <w:rPr>
          <w:iCs/>
          <w:sz w:val="22"/>
        </w:rPr>
        <w:t xml:space="preserve">ith respect to Enron Party, </w:t>
      </w:r>
      <w:r>
        <w:rPr>
          <w:b/>
          <w:bCs/>
          <w:iCs/>
          <w:sz w:val="22"/>
        </w:rPr>
        <w:t>[</w:t>
      </w:r>
      <w:r>
        <w:rPr>
          <w:iCs/>
          <w:sz w:val="22"/>
        </w:rPr>
        <w:t>U.S.</w:t>
      </w:r>
      <w:r>
        <w:rPr>
          <w:b/>
          <w:bCs/>
          <w:iCs/>
          <w:sz w:val="22"/>
        </w:rPr>
        <w:t>]</w:t>
      </w:r>
      <w:r>
        <w:rPr>
          <w:iCs/>
          <w:sz w:val="22"/>
        </w:rPr>
        <w:t xml:space="preserve"> $</w:t>
      </w:r>
      <w:r>
        <w:rPr>
          <w:b/>
          <w:iCs/>
          <w:sz w:val="22"/>
        </w:rPr>
        <w:t>[aggregate collateral threshold to be provided by Credit]</w:t>
      </w:r>
      <w:r>
        <w:rPr>
          <w:iCs/>
          <w:sz w:val="22"/>
        </w:rPr>
        <w:t xml:space="preserve">, and, with respect to Counterparty Party, </w:t>
      </w:r>
      <w:r>
        <w:rPr>
          <w:b/>
          <w:bCs/>
          <w:iCs/>
          <w:sz w:val="22"/>
        </w:rPr>
        <w:t>[</w:t>
      </w:r>
      <w:r>
        <w:rPr>
          <w:iCs/>
          <w:sz w:val="22"/>
        </w:rPr>
        <w:t>U.S.</w:t>
      </w:r>
      <w:r>
        <w:rPr>
          <w:b/>
          <w:bCs/>
          <w:iCs/>
          <w:sz w:val="24"/>
        </w:rPr>
        <w:t>]</w:t>
      </w:r>
      <w:r>
        <w:rPr>
          <w:iCs/>
          <w:sz w:val="22"/>
        </w:rPr>
        <w:t xml:space="preserve"> $</w:t>
      </w:r>
      <w:r>
        <w:rPr>
          <w:b/>
          <w:iCs/>
          <w:sz w:val="22"/>
        </w:rPr>
        <w:t>[aggregate collateral threshold to be provided by Credit]</w:t>
      </w:r>
      <w:r>
        <w:rPr>
          <w:iCs/>
          <w:sz w:val="22"/>
        </w:rPr>
        <w:t>; provided, the exposure threshold shall be zero upon the occurrence and during the continuance of a "</w:t>
      </w:r>
      <w:r>
        <w:rPr>
          <w:iCs/>
          <w:sz w:val="22"/>
          <w:u w:val="single"/>
        </w:rPr>
        <w:t>Material Adverse Change</w:t>
      </w:r>
      <w:r>
        <w:rPr>
          <w:iCs/>
          <w:sz w:val="22"/>
        </w:rPr>
        <w:t xml:space="preserve">" </w:t>
      </w:r>
      <w:r>
        <w:rPr>
          <w:b/>
          <w:bCs/>
          <w:iCs/>
          <w:sz w:val="22"/>
        </w:rPr>
        <w:t>[</w:t>
      </w:r>
      <w:r>
        <w:rPr>
          <w:iCs/>
          <w:sz w:val="22"/>
        </w:rPr>
        <w:t>(if any, and as defined in any Underlying Master Agreement as to any Party) (as below defined)</w:t>
      </w:r>
      <w:r>
        <w:rPr>
          <w:b/>
          <w:bCs/>
          <w:iCs/>
          <w:sz w:val="22"/>
        </w:rPr>
        <w:t>]</w:t>
      </w:r>
      <w:r>
        <w:rPr>
          <w:iCs/>
          <w:sz w:val="22"/>
        </w:rPr>
        <w:t xml:space="preserve">, Default, or any event which, with the giving of notice or the lapse of time or both, would constitute a Default.  </w:t>
      </w:r>
      <w:r>
        <w:rPr>
          <w:b/>
          <w:bCs/>
          <w:iCs/>
          <w:sz w:val="22"/>
        </w:rPr>
        <w:t xml:space="preserve">[If there is no MAC in any Underlying Master Agreement or a new MAC for the aggregate position is desired, credit should provide the appropriate MAC and the definition should be incorporated here.  If the new MAC is to override MACs in Underlying Master Agreements, then provide for such here.]  </w:t>
      </w:r>
      <w:r>
        <w:rPr>
          <w:iCs/>
          <w:sz w:val="22"/>
        </w:rPr>
        <w:t>N</w:t>
      </w:r>
      <w:r>
        <w:rPr>
          <w:sz w:val="22"/>
        </w:rPr>
        <w:t xml:space="preserve">otwithstanding the fact that other of the Underlying Master Agreements may provide otherwise, the evaluation of aggregate exposures and the Collateral requirements (including as to type and amount) under this Agreement shall occur in accordance with the provisions and criteria, and on the dates for such purpose, set forth in </w:t>
      </w:r>
      <w:r>
        <w:rPr>
          <w:b/>
          <w:bCs/>
          <w:sz w:val="22"/>
        </w:rPr>
        <w:t>[</w:t>
      </w:r>
      <w:r>
        <w:rPr>
          <w:sz w:val="22"/>
        </w:rPr>
        <w:t>identify the Underlying Master Agreement to control</w:t>
      </w:r>
      <w:r>
        <w:rPr>
          <w:b/>
          <w:bCs/>
          <w:sz w:val="22"/>
        </w:rPr>
        <w:t>]</w:t>
      </w:r>
      <w:r>
        <w:rPr>
          <w:sz w:val="22"/>
        </w:rPr>
        <w:t xml:space="preserve">; provided, (i) the aggregate thresholds set forth above shall apply and (ii) the Letter of Credit provisions and any form for a Letter of Credit are hereby conformed to (A) require the names of each Enron Party or each Counterparty Party, as the case may be, to be stated as beneficiaries of the Letter of Credit, and (B) allow the beneficiaries individually, jointly, or severally to draw on a Letter of Credit upon any Default hereunder, all in a manner satisfactory to the beneficiaries thereof. </w:t>
      </w:r>
    </w:p>
    <w:p>
      <w:pPr>
        <w:pStyle w:val="OmniPage5"/>
        <w:ind w:firstLine="620" w:start="100" w:end="100"/>
        <w:jc w:val="both"/>
        <w:rPr>
          <w:sz w:val="22"/>
        </w:rPr>
      </w:pPr>
      <w:r>
        <w:rPr>
          <w:sz w:val="22"/>
        </w:rPr>
      </w:r>
    </w:p>
    <w:p>
      <w:pPr>
        <w:pStyle w:val="OmniPage5"/>
        <w:ind w:firstLine="620" w:start="100" w:end="100"/>
        <w:jc w:val="both"/>
        <w:rPr/>
      </w:pPr>
      <w:r>
        <w:rPr>
          <w:sz w:val="22"/>
        </w:rPr>
        <w:t>(h)  If at any time and from time to time during the term of this Agreement (and notwithstanding whether a Default has occurred under this Agreement or under any Underlying Master Agreements), the Final Settlement Amount that would be  payable by a Party (if a Default had occurred under this Agreement or under any Underlying Master Agreements) at such time exceeds the Exposure Threshold for such Party (the "</w:t>
      </w:r>
      <w:r>
        <w:rPr>
          <w:sz w:val="22"/>
          <w:u w:val="single"/>
        </w:rPr>
        <w:t>Payor Party</w:t>
      </w:r>
      <w:r>
        <w:rPr>
          <w:sz w:val="22"/>
        </w:rPr>
        <w:t>"), then the other Party may request that the Payor Party provide Collateral in an amount equal to the amount by which such Final Settlement Amount exceeds the Exposure Threshold of the Payor Party, less any Collateral already provided to the other Party. In the event that the Payor Party fails to deliver Collateral pursuant to the terms of this provision within one Business Day of such request, such failure shall constitute a Default under Section 2(a) of this Agreement.</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and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any of the Underlying Master Agreements to any third party, and covenants that, so long as this Agreement is in effect, it will not assign, transfer, create, or permit to exist any lien or other encumbrance on, or otherwise dispose of, any of its rights to any amounts that may be owed to it under any of the Underlying Master Agreements, to any third party, except as may be herein permitted.</w:t>
      </w:r>
    </w:p>
    <w:p>
      <w:pPr>
        <w:pStyle w:val="Normal"/>
        <w:jc w:val="both"/>
        <w:rPr>
          <w:sz w:val="22"/>
        </w:rPr>
      </w:pPr>
      <w:r>
        <w:rPr>
          <w:sz w:val="22"/>
        </w:rPr>
      </w:r>
    </w:p>
    <w:p>
      <w:pPr>
        <w:pStyle w:val="OmniPage5"/>
        <w:ind w:firstLine="722" w:start="87" w:end="10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The use of headings and subheadings in this Agreement, and the division of this Agreement into sections and sub</w:t>
        <w:noBreakHyphen/>
        <w:t>sections, are for convenience of reference only and shall not affect the interpretation or construction of this Agreement.</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jurisdiction specified in the Underlying Master Agreements; provided, in the event of any inconsistency as to the governing law under any of the Underlying Master Agreements, this Agreement shall be construed in accordance with the substantive law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Jurisdiction.  </w:t>
      </w:r>
      <w:r>
        <w:rPr>
          <w:bCs/>
          <w:sz w:val="22"/>
        </w:rPr>
        <w:t>Subject to Section 16, a</w:t>
      </w:r>
      <w:r>
        <w:rPr>
          <w:sz w:val="22"/>
        </w:rPr>
        <w:t>ny provisions in the Underlying Master Agreements regarding jurisdiction,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 xml:space="preserve">(a)  Any assignment or other transfer of an Underlying Master Agreement and Transactions subject thereto by any Enron Party to an Enron Affiliate or by any Counterparty Party to a Counterparty Affiliate permitted under an Underlying Master Agreement shall be made subject to this Agreement and provide that such assignee or other transferee executes this Agreement as a condition to the effectiveness of any such assignment or other transfer.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(b)  If any Underlying Master Agreement permits assignment of it and Transactions thereunder as security, then notwithstanding the provisions of such Underlying Master Agreement, such Underlying Master Agreement and Transactions thereunder and this Agreement, and any rights therein, may be assigned or otherwise transferred as security only if the assignment or other transfer (A) is made subject to this Agreement and any rights in favor of a Party under this Agreement (whether by setoff, Underlying Master Agreements Close-Out, or otherwise), and (B) does not increase the obligations of, or reduce the rights of, the nonassigning Party, all in substance and form reasonably satisfactory to the nonassigning Party.</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Other than as expressly set forth in this Section 11 and notwithstanding any provision in any of the Underlying Master Agreements to the contrary, the Underlying Master Agreements and Transactions thereunder shall not be assigned (whether by security or otherwise) by any Enron Party or any Counterparty Party without the prior written consent of Counterparty Party or Enron Party, respectively. </w:t>
      </w:r>
    </w:p>
    <w:p>
      <w:pPr>
        <w:pStyle w:val="OmniPage5"/>
        <w:ind w:firstLine="722" w:start="88" w:end="136"/>
        <w:jc w:val="both"/>
        <w:rPr>
          <w:bCs/>
          <w:sz w:val="22"/>
        </w:rPr>
      </w:pPr>
      <w:r>
        <w:rPr>
          <w:bCs/>
          <w:sz w:val="22"/>
        </w:rPr>
      </w:r>
    </w:p>
    <w:p>
      <w:pPr>
        <w:pStyle w:val="OmniPage5"/>
        <w:ind w:firstLine="722" w:start="88" w:end="136"/>
        <w:jc w:val="both"/>
        <w:rPr/>
      </w:pPr>
      <w:r>
        <w:rPr>
          <w:bCs/>
          <w:sz w:val="22"/>
        </w:rPr>
        <w:t xml:space="preserve">(d)  Other than as expressly set forth in this Section 11, this Agreement shall not be assigned </w:t>
      </w:r>
      <w:r>
        <w:rPr>
          <w:sz w:val="22"/>
        </w:rPr>
        <w:t xml:space="preserve">(whether by way of security or otherwise) </w:t>
      </w:r>
      <w:r>
        <w:rPr>
          <w:bCs/>
          <w:sz w:val="22"/>
        </w:rPr>
        <w:t xml:space="preserve">by Enron Party or Counterparty Party without the prior written consent of Counterparty Party or Enron Party, respectively.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(e)  Any purported assignment or other transfer that is not in compliance herewith shall be void.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(f)  This Agreement may not be amended by any Party without the prior written consent of each Party.  </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hereunder may be given by a Party to the other Party by telephone, mail, facsimile, e</w:t>
        <w:noBreakHyphen/>
        <w:t>mail, electronic message, or messenger, to the individuals and at the facsimile numbers, e</w:t>
        <w:noBreakHyphen/>
        <w:t>mail addresses, or other locations as appropriate and as set forth in the Underlying Master Agreements. In the event there is an inconsistency in the notice provisions of the Underlying Master Agreements, notice that is in substantial compliance with such provision in any of the Underlying Master Agreements shall be effective notice hereunder.  Any notice, statement, demand, or other communication hereunder will be deemed delivered on the day and at the time on which it is received or, if not received, on the day and at the time on which its delivery was in good faith attempted; provided, any notice given by a Party to the other Party by telephone shall be deemed delivered only if (a) such notice is followed by written confirmation thereof, and (b) at least one of the other means of providing notice that are specifically listed above has simultaneously been attempted in good faith by the notifying Party.</w:t>
      </w:r>
    </w:p>
    <w:p>
      <w:pPr>
        <w:pStyle w:val="Normal"/>
        <w:jc w:val="both"/>
        <w:rPr>
          <w:sz w:val="22"/>
        </w:rPr>
      </w:pPr>
      <w:r>
        <w:rPr>
          <w:sz w:val="22"/>
        </w:rPr>
      </w:r>
    </w:p>
    <w:p>
      <w:pPr>
        <w:pStyle w:val="OmniPage6"/>
        <w:ind w:firstLine="724" w:start="79" w:end="193"/>
        <w:jc w:val="both"/>
        <w:rPr/>
      </w:pPr>
      <w:r>
        <w:rPr>
          <w:b/>
          <w:bCs/>
          <w:sz w:val="22"/>
        </w:rPr>
        <w:t>13.</w:t>
      </w:r>
      <w:r>
        <w:rPr>
          <w:sz w:val="22"/>
        </w:rPr>
        <w:t xml:space="preserve">  </w:t>
      </w:r>
      <w:r>
        <w:rPr>
          <w:b/>
          <w:sz w:val="22"/>
        </w:rPr>
        <w:t xml:space="preserve">Conflicts and Inconsistencies.  </w:t>
      </w:r>
      <w:r>
        <w:rPr>
          <w:sz w:val="22"/>
        </w:rPr>
        <w:t>In the event of any conflict or inconsistency between this Agreement and any of the Underlying Master Agreements concerning the matters set forth in this Agreement, the provisions of this Agreement shall govern.</w:t>
      </w:r>
    </w:p>
    <w:p>
      <w:pPr>
        <w:pStyle w:val="OmniPage6"/>
        <w:ind w:firstLine="724" w:start="79" w:end="193"/>
        <w:jc w:val="both"/>
        <w:rPr>
          <w:sz w:val="22"/>
        </w:rPr>
      </w:pPr>
      <w:r>
        <w:rPr>
          <w:sz w:val="22"/>
        </w:rPr>
      </w:r>
    </w:p>
    <w:p>
      <w:pPr>
        <w:pStyle w:val="Normal"/>
        <w:tabs>
          <w:tab w:val="clear" w:pos="720"/>
          <w:tab w:val="left" w:pos="1260" w:leader="none"/>
        </w:tabs>
        <w:ind w:firstLine="720" w:end="0"/>
        <w:jc w:val="both"/>
        <w:rPr/>
      </w:pPr>
      <w:r>
        <w:rPr>
          <w:b/>
          <w:sz w:val="22"/>
        </w:rPr>
        <w:t xml:space="preserve"> </w:t>
      </w:r>
      <w:r>
        <w:rPr>
          <w:b/>
          <w:sz w:val="22"/>
        </w:rPr>
        <w:t>14.</w:t>
        <w:tab/>
        <w:t xml:space="preserve"> Continuation of Master Agreements and Severability.</w:t>
      </w:r>
      <w:r>
        <w:rPr>
          <w:sz w:val="22"/>
        </w:rPr>
        <w:t xml:space="preserve">  (a)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(b)  If either of Sections 2 or 3 hereof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w:t>
        <w:tab/>
        <w:t xml:space="preserve">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szCs w:val="22"/>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each of Enron Party and Counterparty Party shall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 xml:space="preserve">[17.  Guarantors.  </w:t>
      </w:r>
      <w:r>
        <w:rPr>
          <w:sz w:val="22"/>
        </w:rPr>
        <w:t>____________________ and ____________________ are guarantors under one or more of the Underlying Master Agreements and join herein for the purpose of acknowledging and consenting to this Agreement, and any future amendment, renewal, restatement, or other modification hereof.</w:t>
      </w:r>
      <w:r>
        <w:rPr>
          <w:b/>
          <w:bCs/>
          <w:sz w:val="22"/>
        </w:rPr>
        <w:t>]</w:t>
      </w:r>
      <w:r>
        <w:rPr>
          <w:sz w:val="22"/>
        </w:rPr>
        <w:t xml:space="preserve">  </w:t>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PARTY"</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PARTY"</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[GUARANTORS, JOINING FOR THE PURPOSES STATED IN SECTION 17]</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b/>
          <w:bCs/>
          <w:sz w:val="22"/>
        </w:rPr>
      </w:pPr>
      <w:r>
        <w:rPr>
          <w:b/>
          <w:bCs/>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/mnt/main-storage/datasets/enron-docs/doc/MasterNetting_SecurityAgmnt030201.doc</w:t>
    </w:r>
    <w:r>
      <w:rPr>
        <w:rStyle w:val="PageNumber"/>
        <w:sz w:val="18"/>
      </w:rPr>
      <w:fldChar w:fldCharType="end"/>
    </w:r>
  </w:p>
  <w:p>
    <w:pPr>
      <w:pStyle w:val="Footer"/>
      <w:rPr>
        <w:rStyle w:val="PageNumber"/>
        <w:sz w:val="18"/>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2001-03-02T13:46:00Z</dcterms:created>
  <dc:creator>mcook</dc:creator>
  <dc:description/>
  <dc:language>en-CA</dc:language>
  <cp:lastModifiedBy>jmoore2</cp:lastModifiedBy>
  <cp:lastPrinted>2001-03-02T09:52:00Z</cp:lastPrinted>
  <dcterms:modified xsi:type="dcterms:W3CDTF">2001-03-02T13:46:00Z</dcterms:modified>
  <cp:revision>2</cp:revision>
  <dc:subject/>
  <dc:title>MASTER CROSS﷓PRODUCT NETTING AND SECURITY AGREEMENT</dc:title>
</cp:coreProperties>
</file>