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MASTER BANDWIDTH PURCHASE AND SALE AGREEEMENT</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t xml:space="preserve">This Master Bandwidth Purchase and Sale Agreement, together with any amendment, modification or change made in accordance with Section 12.6 hereof </w:t>
      </w:r>
      <w:r>
        <w:rPr>
          <w:b/>
          <w:u w:val="single"/>
        </w:rPr>
        <w:t>(this “Master Agreement”)</w:t>
      </w:r>
      <w:r>
        <w:rPr/>
        <w:t xml:space="preserve"> is entered into as of ___________________ </w:t>
      </w:r>
      <w:r>
        <w:rPr>
          <w:b/>
          <w:u w:val="single"/>
        </w:rPr>
        <w:t>(“Effective Date”)</w:t>
      </w:r>
      <w:r>
        <w:rPr/>
        <w:t xml:space="preserve"> between _____________________________ a [corporation][partnership] organized under the laws of the State of [</w:t>
      </w:r>
      <w:r>
        <w:rPr>
          <w:u w:val="single"/>
        </w:rPr>
        <w:tab/>
        <w:tab/>
        <w:tab/>
      </w:r>
      <w:r>
        <w:rPr/>
        <w:t xml:space="preserve">] </w:t>
      </w:r>
      <w:r>
        <w:rPr>
          <w:b/>
          <w:u w:val="single"/>
        </w:rPr>
        <w:t>(“Counterparty”)</w:t>
      </w:r>
      <w:r>
        <w:rPr/>
        <w:t xml:space="preserve"> and Enron Broadband Services, L.P., a limited partnership organized under the laws of the State of Delaware </w:t>
      </w:r>
      <w:r>
        <w:rPr>
          <w:b/>
          <w:u w:val="single"/>
        </w:rPr>
        <w:t>(“Company”)</w:t>
      </w:r>
      <w:r>
        <w:rPr/>
        <w:t xml:space="preserve">. </w:t>
      </w:r>
      <w:r>
        <w:rPr>
          <w:b/>
        </w:rPr>
        <w:t xml:space="preserve"> </w:t>
      </w:r>
      <w:r>
        <w:rPr/>
        <w:t xml:space="preserve"> Company and Counterparty shall each be referred to as a “</w:t>
      </w:r>
      <w:r>
        <w:rPr>
          <w:b/>
          <w:u w:val="single"/>
        </w:rPr>
        <w:t>Party</w:t>
      </w:r>
      <w:r>
        <w:rPr/>
        <w:t>” under this Master Agreement.  Counterparty and Company hereby agree as follows:</w:t>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p>
    <w:p>
      <w:pPr>
        <w:pStyle w:val="Heading2"/>
        <w:spacing w:before="120" w:after="120"/>
        <w:ind w:hanging="0" w:start="0"/>
        <w:rPr/>
      </w:pPr>
      <w:r>
        <w:rPr>
          <w:b/>
          <w:u w:val="single"/>
        </w:rPr>
        <w:t>1.1.</w:t>
      </w:r>
      <w:r>
        <w:rPr>
          <w:u w:val="single"/>
        </w:rPr>
        <w:t xml:space="preserve"> </w:t>
      </w:r>
      <w:r>
        <w:rPr>
          <w:b/>
          <w:u w:val="single"/>
        </w:rPr>
        <w:t>Scope of Agreement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Master Agreement and the documents and other confirming evidence, whether a Transaction Agreement (as defined below) or any other form of Confirmation (as defined below). All Transactions are entered into in reliance on the fact that this Master Agreement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Master Agreement and shall be read and construed together with this Master Agreement.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t xml:space="preserve">.  It is the intent of the Parties to facilitate Transactions in accordance with the procedures set forth in this Section 1 and to assure that such Transactions are valid and enforceable for the mutual benefit of the Parties. Any Transaction may be formed and effectuated and shall be legally binding (a) by a telephone conversation that may be recorded (each Party thereby and hereby consenting to the recording of its representatives’ telephone conversations without any further notice) or any exchange of retrievable electronic communications between the Parties or their respective representatives whereby an offer and acceptance shall constitute the agreement of the Parties to a Transaction, or (b) if, and only if, the Parties have previously stipulated by a written agreement executed by both Parties,  by a written Transaction Agreement executed by the Parties (including by facsimile and/or counterparts).  As a material part of the consideration for entering into a Transaction, each Party hereby waives and agrees not to contest or assert any defense to (i) the validity or enforceability of Transactions under laws relating to whether certain agreements are to be in writing or signed by such Party to be thereby bound, or (ii) the authority of any employee or representative of such Party to enter into a Transaction.  All telephone recordings and retrievals of computer or other electronic messages may be introduced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Confirmation, as provided for in Section 1.3, the Confirmation shall prevail.  Any Transaction formed between the Parties pursuant to the procedures set forth in this Section 1 shall be considered to be a “writing” or “in writing” and to have been “signed” by the Parties, and any tape recording of a Transaction and/or retrieval of any computer or other electronic message forming a Transaction shall be considered to constitute an “original” document evidencing the Transaction. </w:t>
      </w:r>
    </w:p>
    <w:p>
      <w:pPr>
        <w:pStyle w:val="Heading2"/>
        <w:ind w:hanging="0" w:start="0"/>
        <w:rPr/>
      </w:pPr>
      <w:r>
        <w:rPr>
          <w:b/>
          <w:u w:val="single"/>
        </w:rPr>
        <w:t>1.3. Confirmations</w:t>
      </w:r>
      <w:r>
        <w:rPr>
          <w:b/>
        </w:rPr>
        <w:t xml:space="preserve">.  </w:t>
      </w:r>
      <w:r>
        <w:rPr/>
        <w:t xml:space="preserve">The Parties agree that Company will confirm a Transaction entered into pursuant to the provisions of Section 1.2 (a) above by giving to Counterparty, within three (3) Business Days after the Trade Date, a written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attached hereto (or in such other form as the Parties may agree),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Access Identifiers.</w:t>
      </w:r>
      <w:r>
        <w:rPr/>
        <w:t xml:space="preserve">  Within the time period set forth in the Confirmation applicable to a Transaction (or if no time period is set forth in a Confirmation, [  ] Days prior to the beginning of the Term), the Parties agree to exchange and provide to each other the Access Identifiers described in such Confirmation. In the event that Seller fails to provide such Access Identifiers, such event shall constitute a failure of Seller under Section 3.3 (a)(i) hereof and Buyer shall be entitled to the applicable remedies in respect thereof.  In the event that Buyer fails to provide such Access Identifiers, such event shall constitute a failure of Buyer under Section 3.3 (a)(ii) hereof and Seller shall be entitled to the applicable remedies in respect thereof.  In the event that both Buyer and Seller fail to provide the requisite Access Identifiers to the other, such event shall constitute a failure of Buyer under Section 3.3 (a)(ii) hereof and the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1.5. Term of Master Agreement</w:t>
      </w:r>
      <w:r>
        <w:rPr/>
        <w:t>.  This Master Agreement shall be effective as of the Effective Date and shall remain in effect until terminated by either Party upon 30 days prior written notice to the other Party; provided, however, that this Master Agreement shall remain in effect with respect to any Transaction(s) entered into prior to the effective date of such termination until both Parties have fulfilled all their respective obligations with respect  thereto.</w:t>
      </w:r>
    </w:p>
    <w:p>
      <w:pPr>
        <w:pStyle w:val="Heading2"/>
        <w:ind w:hanging="0" w:start="0"/>
        <w:rPr/>
      </w:pPr>
      <w:r>
        <w:rPr>
          <w:b/>
          <w:u w:val="single"/>
        </w:rPr>
        <w:t>2. Definitions.</w:t>
      </w:r>
      <w:r>
        <w:rPr/>
        <w:t xml:space="preserve">  Terms used, but not expressly defined in this Section or elsewhere in this Master Agreement, shall have the meanings attributed to such terms in the Confirmation.  All references herein to Sections, Annexes and Exhibits are to those set forth in or attached to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Access Identifier</w:t>
      </w:r>
      <w:r>
        <w:rPr>
          <w:b/>
          <w:i/>
        </w:rPr>
        <w:t>”</w:t>
      </w:r>
      <w:r>
        <w:rPr/>
        <w:t xml:space="preserve"> means a unique numeric or other identifier to be established by a Pooling Point Administrator for a Transaction identifying the single point of interconnection of Seller or Buyer at a relevant Pooling Point. </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i/>
        </w:rPr>
        <w:t>[</w:t>
      </w:r>
      <w:r>
        <w:rPr>
          <w:b/>
          <w:i/>
        </w:rPr>
        <w:t>”</w:t>
      </w:r>
      <w:r>
        <w:rPr>
          <w:b/>
          <w:i/>
          <w:u w:val="single"/>
        </w:rPr>
        <w:t>BTO Operating Agreement</w:t>
      </w:r>
      <w:r>
        <w:rPr>
          <w:b/>
          <w:i/>
        </w:rPr>
        <w:t xml:space="preserve">” </w:t>
      </w:r>
      <w:r>
        <w:rPr/>
        <w:t>means the agreement(s), entered into by and between each Bandwidth trading market participant and the BTO setting forth or incorporating the operational specifications and rules to be observed in respect of Market Pooling Points.]</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i/>
        </w:rPr>
        <w:t>[”</w:t>
      </w:r>
      <w:r>
        <w:rPr>
          <w:b/>
          <w:i/>
          <w:u w:val="single"/>
        </w:rPr>
        <w:t>Bandwidth Trading Organization</w:t>
      </w:r>
      <w:r>
        <w:rPr>
          <w:i/>
        </w:rPr>
        <w:t xml:space="preserve">” or </w:t>
      </w:r>
      <w:r>
        <w:rPr>
          <w:b/>
          <w:i/>
        </w:rPr>
        <w:t>“</w:t>
      </w:r>
      <w:r>
        <w:rPr>
          <w:b/>
          <w:i/>
          <w:u w:val="single"/>
        </w:rPr>
        <w:t>BTO</w:t>
      </w:r>
      <w:r>
        <w:rPr>
          <w:b/>
          <w:i/>
        </w:rPr>
        <w:t>”</w:t>
      </w:r>
      <w:r>
        <w:rPr/>
        <w:t xml:space="preserve"> means [Bandwidth Trading Organization LLC] which is incorporated in [____________] and whose registered office is situated at [____________   ].]</w:t>
      </w:r>
    </w:p>
    <w:p>
      <w:pPr>
        <w:pStyle w:val="Heading2"/>
        <w:ind w:hanging="0" w:start="0"/>
        <w:rPr/>
      </w:pPr>
      <w:r>
        <w:rPr>
          <w:b/>
          <w:i/>
        </w:rPr>
        <w:t>“</w:t>
      </w:r>
      <w:r>
        <w:rPr>
          <w:b/>
          <w:i/>
          <w:u w:val="single"/>
        </w:rPr>
        <w:t>Bandwidth Unit</w:t>
      </w:r>
      <w:r>
        <w:rPr>
          <w:b/>
          <w:i/>
        </w:rPr>
        <w:t>”</w:t>
      </w:r>
      <w:r>
        <w:rPr/>
        <w:t xml:space="preserve"> means the “Bandwidth Unit” specified  by the Parties in connection with a particular Transaction.  Such “Bandwidth Unit” may be one of those described in Annex A or any other “Bandwidth Unit” as agreed between the Parties in connection with a particular Transaction.</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 </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local time in the place designated by such Party  in Exhibit B for delivery of “Notices and Correspondence”.</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 xml:space="preserve">is defined in Section 1.3. </w:t>
      </w:r>
    </w:p>
    <w:p>
      <w:pPr>
        <w:pStyle w:val="Heading2"/>
        <w:ind w:hanging="0" w:start="0"/>
        <w:rPr/>
      </w:pPr>
      <w:r>
        <w:rPr>
          <w:b/>
          <w:i/>
        </w:rPr>
        <w:t>“</w:t>
      </w:r>
      <w:r>
        <w:rPr>
          <w:b/>
          <w:i/>
          <w:u w:val="single"/>
        </w:rPr>
        <w:t>Contract Price</w:t>
      </w:r>
      <w:r>
        <w:rPr>
          <w:b/>
          <w:i/>
        </w:rPr>
        <w:t xml:space="preserve">” </w:t>
      </w:r>
      <w:r>
        <w:rPr/>
        <w:t xml:space="preserve">means the price to be paid by Buyer to Seller for the purchase of Bandwidth Units, calculated as the Unit Price per Month in US$ multiplied by the number of Bandwidth Unit(s). </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 </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rFonts w:eastAsia="Arial Narrow"/>
        </w:rPr>
        <w:t xml:space="preserve"> </w:t>
      </w:r>
      <w:r>
        <w:rPr>
          <w:b/>
        </w:rPr>
        <w:t>“</w:t>
      </w:r>
      <w:r>
        <w:rPr>
          <w:b/>
          <w:i/>
          <w:u w:val="single"/>
        </w:rPr>
        <w:t>Defaulting Party”</w:t>
      </w:r>
      <w:r>
        <w:rPr/>
        <w:t xml:space="preserve"> is defined in Section 6.1.</w:t>
      </w:r>
    </w:p>
    <w:p>
      <w:pPr>
        <w:pStyle w:val="Heading2"/>
        <w:ind w:hanging="0" w:start="0"/>
        <w:rPr/>
      </w:pPr>
      <w:r>
        <w:rPr>
          <w:b/>
          <w:i/>
        </w:rPr>
        <w:t>“</w:t>
      </w:r>
      <w:r>
        <w:rPr>
          <w:b/>
          <w:i/>
          <w:u w:val="single"/>
        </w:rPr>
        <w:t>Default Rate</w:t>
      </w:r>
      <w:r>
        <w:rPr>
          <w:b/>
          <w:i/>
        </w:rPr>
        <w:t>”</w:t>
      </w:r>
      <w:r>
        <w:rPr/>
        <w:t xml:space="preserve"> means, for any day, unless otherwise agreed by the Parties, the per annum rate of interest published as the “Prime Rate” from time to time for commercial loans by Citibank N.A., as such rate may change from time to time, plus two (2) percent per annum; provided that the Default Rate shall never exceed the maximum rate permitted by applicable law.</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Dection 6.1(h)(i).</w:t>
      </w:r>
    </w:p>
    <w:p>
      <w:pPr>
        <w:pStyle w:val="Heading2"/>
        <w:ind w:hanging="0" w:start="0"/>
        <w:rPr/>
      </w:pPr>
      <w:r>
        <w:rPr>
          <w:b/>
          <w:i/>
        </w:rPr>
        <w:t>“</w:t>
      </w:r>
      <w:r>
        <w:rPr>
          <w:b/>
          <w:i/>
          <w:u w:val="single"/>
        </w:rPr>
        <w:t>Errored Second</w:t>
      </w:r>
      <w:r>
        <w:rPr>
          <w:b/>
          <w:i/>
        </w:rPr>
        <w:t>”</w:t>
      </w:r>
      <w:r>
        <w:rPr/>
        <w:t xml:space="preserve"> means, in connection with any Transaction, any second in which a minimum of one (1) and a maximum of two thousand four hundred (2400) Bit Errors have occurred.</w:t>
      </w:r>
    </w:p>
    <w:p>
      <w:pPr>
        <w:pStyle w:val="Heading2"/>
        <w:ind w:hanging="0" w:start="0"/>
        <w:rPr/>
      </w:pPr>
      <w:r>
        <w:rPr>
          <w:rFonts w:eastAsia="Arial Narrow"/>
          <w:b/>
          <w:i/>
        </w:rPr>
        <w:t xml:space="preserve"> </w:t>
      </w:r>
      <w:r>
        <w:rPr>
          <w:b/>
          <w:i/>
        </w:rPr>
        <w:t>“</w:t>
      </w:r>
      <w:r>
        <w:rPr>
          <w:b/>
          <w:i/>
          <w:u w:val="single"/>
        </w:rPr>
        <w:t>Event of Default Triggering Event</w:t>
      </w:r>
      <w:r>
        <w:rPr>
          <w:b/>
          <w:i/>
        </w:rPr>
        <w:t>”</w:t>
      </w:r>
      <w:r>
        <w:rPr/>
        <w:t xml:space="preserve"> is defined in Section 3.3 (b)(iii).</w:t>
      </w:r>
    </w:p>
    <w:p>
      <w:pPr>
        <w:pStyle w:val="Heading2"/>
        <w:ind w:hanging="0" w:start="0"/>
        <w:rPr/>
      </w:pPr>
      <w:r>
        <w:rPr>
          <w:b/>
          <w:i/>
        </w:rPr>
        <w:t>“</w:t>
      </w:r>
      <w:r>
        <w:rPr>
          <w:b/>
          <w:i/>
          <w:u w:val="single"/>
        </w:rPr>
        <w:t>FCC</w:t>
      </w:r>
      <w:r>
        <w:rPr>
          <w:b/>
          <w:i/>
        </w:rPr>
        <w:t>”</w:t>
      </w:r>
      <w:r>
        <w:rPr/>
        <w:t xml:space="preserve"> means the United States Federal Communications Commission.</w:t>
      </w:r>
    </w:p>
    <w:p>
      <w:pPr>
        <w:pStyle w:val="Heading2"/>
        <w:ind w:hanging="0" w:start="0"/>
        <w:rPr/>
      </w:pPr>
      <w:r>
        <w:rPr>
          <w:b/>
        </w:rPr>
        <w:t>“</w:t>
      </w:r>
      <w:r>
        <w:rPr>
          <w:b/>
          <w:i/>
          <w:u w:val="single"/>
        </w:rPr>
        <w:t>GAAP</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Gains shall be calculated by the Non-Defaulting Party in a commercially reasonable manner.</w:t>
      </w:r>
    </w:p>
    <w:p>
      <w:pPr>
        <w:pStyle w:val="Heading2"/>
        <w:ind w:hanging="0" w:start="0"/>
        <w:rPr/>
      </w:pPr>
      <w:r>
        <w:rPr>
          <w:b/>
          <w:i/>
        </w:rPr>
        <w:t>[”</w:t>
      </w:r>
      <w:r>
        <w:rPr>
          <w:b/>
          <w:i/>
          <w:u w:val="single"/>
        </w:rPr>
        <w:t>Guarantor</w:t>
      </w:r>
      <w:r>
        <w:rPr>
          <w:b/>
          <w:i/>
        </w:rPr>
        <w:t>”</w:t>
      </w:r>
      <w:r>
        <w:rPr/>
        <w:t xml:space="preserve"> means, in respect of Company, Enron Corp. and, in respect of Counterparty, _______________________, together with any additional replacement or substitute guarantors of such Party’s obligations hereunder.]</w:t>
      </w:r>
    </w:p>
    <w:p>
      <w:pPr>
        <w:pStyle w:val="Heading2"/>
        <w:ind w:hanging="0" w:start="0"/>
        <w:rPr/>
      </w:pPr>
      <w:r>
        <w:rPr>
          <w:b/>
          <w:i/>
        </w:rPr>
        <w:t>[”</w:t>
      </w:r>
      <w:r>
        <w:rPr>
          <w:b/>
          <w:i/>
          <w:u w:val="single"/>
        </w:rPr>
        <w:t>Guaranty</w:t>
      </w:r>
      <w:r>
        <w:rPr>
          <w:b/>
          <w:i/>
        </w:rPr>
        <w:t>”</w:t>
      </w:r>
      <w:r>
        <w:rPr/>
        <w:t xml:space="preserve"> means the Guaranty executed by a Party’s Guarantor in accordance with Section 6.4.]</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pPr>
      <w:r>
        <w:rPr>
          <w:b/>
        </w:rPr>
        <w:t>[”</w:t>
      </w:r>
      <w:r>
        <w:rPr>
          <w:b/>
          <w:i/>
          <w:u w:val="single"/>
        </w:rPr>
        <w:t>Letter of Credit</w:t>
      </w:r>
      <w:r>
        <w:rPr>
          <w:b/>
        </w:rPr>
        <w:t>”</w:t>
      </w:r>
      <w:r>
        <w:rPr/>
        <w:t xml:space="preserve"> means one or more irrevocable, transferable standby letters of credit issued by a U.S. commercial bank or a foreign bank with a U.S. branch office, whose long-term, senior, unsecured debt has been given a credit rating of at least “A-“ by S&amp;P or “A3” by Moody’s.</w:t>
      </w:r>
      <w:r>
        <w:rPr>
          <w:b/>
        </w:rPr>
        <w:t>]</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Losses shall be calculated </w:t>
      </w:r>
      <w:r>
        <w:rPr/>
        <w:t xml:space="preserve">by the Non-Defaulting Party </w:t>
      </w:r>
      <w:r>
        <w:rPr>
          <w:spacing w:val="-2"/>
        </w:rPr>
        <w:t>in a commercially reasonable manner.</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Pooling Points identified in Annex B hereto.</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BTO, as appointed by the BTO under the BTO Operating Agreement, to manage the administration (including scheduling and testing) of the respective Market Pooling Point on behalf of the BTO [Note:  this is currently expected to be an affiliate of PricewaterhouseCoopers]</w:t>
      </w:r>
      <w:r>
        <w:rPr>
          <w:spacing w:val="-2"/>
        </w:rPr>
        <w:t>.]</w:t>
      </w:r>
    </w:p>
    <w:p>
      <w:pPr>
        <w:pStyle w:val="Heading2"/>
        <w:ind w:hanging="0" w:start="0"/>
        <w:rPr/>
      </w:pPr>
      <w:r>
        <w:rPr>
          <w:b/>
        </w:rPr>
        <w:t>[”</w:t>
      </w:r>
      <w:r>
        <w:rPr>
          <w:b/>
          <w:i/>
          <w:u w:val="single"/>
        </w:rPr>
        <w:t>Material Adverse Change</w:t>
      </w:r>
      <w:r>
        <w:rPr>
          <w:b/>
        </w:rPr>
        <w:t>”</w:t>
      </w:r>
      <w:r>
        <w:rPr/>
        <w:t xml:space="preserve"> means (a) with respect to Counterparty, __________________________ shall have long-term, senior, unsecured debt that is rated by [S&amp;P][Moody’s] below __________ or (b) with respect to Company, Enron Corp. shall have long-term, senior, unsecured debt  that is rated by [S&amp;P][Moody’s] below ______.</w:t>
      </w:r>
      <w:r>
        <w:rPr>
          <w:b/>
        </w:rPr>
        <w:t>]</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rPr>
        <w:t>[”</w:t>
      </w:r>
      <w:r>
        <w:rPr>
          <w:b/>
          <w:i/>
          <w:u w:val="single"/>
        </w:rPr>
        <w:t>Moody’s</w:t>
      </w:r>
      <w:r>
        <w:rPr>
          <w:b/>
        </w:rPr>
        <w:t>”</w:t>
      </w:r>
      <w:r>
        <w:rPr/>
        <w:t xml:space="preserve"> means Moody’s Investor Services, Inc. or its successor.]</w:t>
      </w:r>
    </w:p>
    <w:p>
      <w:pPr>
        <w:pStyle w:val="Heading2"/>
        <w:ind w:hanging="0" w:start="0"/>
        <w:rPr/>
      </w:pPr>
      <w:r>
        <w:rPr>
          <w:b/>
          <w:i/>
          <w:spacing w:val="-2"/>
        </w:rPr>
        <w:t>“</w:t>
      </w:r>
      <w:r>
        <w:rPr>
          <w:b/>
          <w:i/>
          <w:u w:val="single"/>
        </w:rPr>
        <w:t>New Taxes</w:t>
      </w:r>
      <w:r>
        <w:rPr/>
        <w:t>”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with respect to a Transaction,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rPr>
        <w:t>“</w:t>
      </w:r>
      <w:r>
        <w:rPr>
          <w:b/>
          <w:i/>
          <w:u w:val="single"/>
        </w:rPr>
        <w:t>Performance Assurance</w:t>
      </w:r>
      <w:r>
        <w:rPr>
          <w:b/>
        </w:rPr>
        <w:t>”</w:t>
      </w:r>
      <w:r>
        <w:rPr/>
        <w:t xml:space="preserve"> means credit support in the form of cash, Letters of Credit, or such other form as may be reasonably acceptable to the beneficiary thereof.</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 a Market Pooling Point, or (b) any other switching and interconnection facility in a particular physical location through which a Bandwidth connection between Buyer and Seller may be established, monitored and otherwise served.</w:t>
      </w:r>
    </w:p>
    <w:p>
      <w:pPr>
        <w:pStyle w:val="Heading2"/>
        <w:ind w:hanging="0" w:start="0"/>
        <w:rPr/>
      </w:pPr>
      <w:r>
        <w:rPr>
          <w:b/>
          <w:i/>
        </w:rPr>
        <w:t>“</w:t>
      </w:r>
      <w:r>
        <w:rPr>
          <w:b/>
          <w:i/>
          <w:u w:val="single"/>
        </w:rPr>
        <w:t>Pooling Point Administrator</w:t>
      </w:r>
      <w:r>
        <w:rPr>
          <w:b/>
          <w:i/>
        </w:rPr>
        <w:t>” or “</w:t>
      </w:r>
      <w:r>
        <w:rPr>
          <w:b/>
          <w:i/>
          <w:u w:val="single"/>
        </w:rPr>
        <w:t>PPA</w:t>
      </w:r>
      <w:r>
        <w:rPr>
          <w:b/>
          <w:i/>
        </w:rPr>
        <w:t>”</w:t>
      </w:r>
      <w:r>
        <w:rPr/>
        <w:t xml:space="preserve"> means (a) the Market Pooling Point Administrator, or (b) in the event that there is no Market Pooling Point Administrator, the independent entity charged with managing the administration (including scheduling and testing) of the applicable Pooling Point, or (c) in the event that an independent entity as described in (a) or (b) above has not been appointed in respect of any applicable Pooling Point, the Seller.</w:t>
      </w:r>
    </w:p>
    <w:p>
      <w:pPr>
        <w:pStyle w:val="Heading2"/>
        <w:ind w:hanging="0" w:start="0"/>
        <w:rPr/>
      </w:pPr>
      <w:r>
        <w:rPr>
          <w:b/>
          <w:i/>
          <w:color w:val="000000"/>
          <w:lang w:eastAsia="en-US"/>
        </w:rPr>
        <w:t>“</w:t>
      </w:r>
      <w:r>
        <w:rPr>
          <w:b/>
          <w:i/>
          <w:color w:val="000000"/>
          <w:u w:val="single"/>
          <w:lang w:eastAsia="en-US"/>
        </w:rPr>
        <w:t>Pooling Point Change</w:t>
      </w:r>
      <w:r>
        <w:rPr>
          <w:b/>
          <w:i/>
          <w:color w:val="000000"/>
          <w:lang w:eastAsia="en-US"/>
        </w:rPr>
        <w:t xml:space="preserve">” </w:t>
      </w:r>
      <w:r>
        <w:rPr>
          <w:color w:val="000000"/>
          <w:lang w:eastAsia="en-US"/>
        </w:rPr>
        <w:t xml:space="preserve"> is defined in Section 4.</w:t>
      </w:r>
    </w:p>
    <w:p>
      <w:pPr>
        <w:pStyle w:val="Heading2"/>
        <w:ind w:hanging="0" w:start="0"/>
        <w:rPr/>
      </w:pPr>
      <w:r>
        <w:rPr>
          <w:b/>
          <w:i/>
        </w:rPr>
        <w:t>“</w:t>
      </w:r>
      <w:r>
        <w:rPr>
          <w:b/>
          <w:i/>
          <w:u w:val="single"/>
        </w:rPr>
        <w:t>Pooling Point Demarc</w:t>
      </w:r>
      <w:r>
        <w:rPr>
          <w:b/>
          <w:i/>
        </w:rPr>
        <w:t>”</w:t>
      </w:r>
      <w:r>
        <w:rPr/>
        <w:t xml:space="preserve"> means the demarcation point between a Party’s interconnection panels and the relevant Pooling Point.</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 xml:space="preserve"> 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or SQoS applicable thereto.</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w:t>
      </w:r>
    </w:p>
    <w:p>
      <w:pPr>
        <w:pStyle w:val="Heading2"/>
        <w:ind w:hanging="0" w:start="0"/>
        <w:rPr/>
      </w:pPr>
      <w:r>
        <w:rPr>
          <w:b/>
        </w:rPr>
        <w:t>[”</w:t>
      </w:r>
      <w:r>
        <w:rPr>
          <w:b/>
          <w:i/>
          <w:u w:val="single"/>
        </w:rPr>
        <w:t>S&amp;P</w:t>
      </w:r>
      <w:r>
        <w:rPr>
          <w:b/>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Pooling Points in the United States.</w:t>
      </w:r>
    </w:p>
    <w:p>
      <w:pPr>
        <w:pStyle w:val="Heading2"/>
        <w:ind w:hanging="0" w:start="0"/>
        <w:rPr/>
      </w:pPr>
      <w:r>
        <w:rPr>
          <w:rFonts w:eastAsia="Arial Narrow"/>
          <w:b/>
          <w:i/>
        </w:rPr>
        <w:t xml:space="preserve"> </w:t>
      </w: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in connection with any Transaction, any second in which more than two thousand four hundred (2400) Bit Errors have occurred.</w:t>
      </w:r>
    </w:p>
    <w:p>
      <w:pPr>
        <w:pStyle w:val="Heading2"/>
        <w:ind w:hanging="0" w:start="0"/>
        <w:rPr/>
      </w:pPr>
      <w:r>
        <w:rPr>
          <w:rFonts w:eastAsia="Arial Narrow"/>
          <w:b/>
          <w:i/>
        </w:rPr>
        <w:t xml:space="preserve"> </w:t>
      </w:r>
      <w:r>
        <w:rPr>
          <w:b/>
          <w:i/>
        </w:rPr>
        <w:t>“</w:t>
      </w:r>
      <w:r>
        <w:rPr>
          <w:b/>
          <w:i/>
          <w:u w:val="single"/>
        </w:rPr>
        <w:t>Seller Damage Triggering Event</w:t>
      </w:r>
      <w:r>
        <w:rPr>
          <w:b/>
          <w:i/>
        </w:rPr>
        <w:t>”</w:t>
      </w:r>
      <w:r>
        <w:rPr/>
        <w:t xml:space="preserve">  is defined in Section 3.3 (a) (i).</w:t>
      </w:r>
    </w:p>
    <w:p>
      <w:pPr>
        <w:pStyle w:val="Heading2"/>
        <w:ind w:hanging="0" w:start="0"/>
        <w:rPr/>
      </w:pPr>
      <w:r>
        <w:rPr>
          <w:b/>
          <w:i/>
        </w:rPr>
        <w:t>“</w:t>
      </w:r>
      <w:r>
        <w:rPr>
          <w:b/>
          <w:i/>
          <w:u w:val="single"/>
        </w:rPr>
        <w:t>SQoS</w:t>
      </w:r>
      <w:r>
        <w:rPr>
          <w:b/>
          <w:i/>
        </w:rPr>
        <w:t>”</w:t>
      </w:r>
      <w:r>
        <w:rPr/>
        <w:t xml:space="preserve"> means the specified quality of service standards otherwise agreed to in respect of a relevant Transaction.</w:t>
      </w:r>
    </w:p>
    <w:p>
      <w:pPr>
        <w:pStyle w:val="Heading2"/>
        <w:ind w:hanging="0" w:start="0"/>
        <w:rPr/>
      </w:pPr>
      <w:r>
        <w:rPr>
          <w:b/>
          <w:i/>
        </w:rPr>
        <w:t>“</w:t>
      </w:r>
      <w:r>
        <w:rPr>
          <w:b/>
          <w:i/>
          <w:u w:val="single"/>
        </w:rPr>
        <w:t>Taxes</w:t>
      </w:r>
      <w:r>
        <w:rPr/>
        <w:t>”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rFonts w:eastAsia="Arial Narrow"/>
          <w:b/>
          <w:i/>
        </w:rPr>
        <w:t xml:space="preserve"> </w:t>
      </w:r>
      <w:r>
        <w:rPr>
          <w:b/>
          <w:i/>
        </w:rPr>
        <w:t>“</w:t>
      </w:r>
      <w:r>
        <w:rPr>
          <w:b/>
          <w:i/>
          <w:u w:val="single"/>
        </w:rPr>
        <w:t>Term</w:t>
      </w:r>
      <w:r>
        <w:rPr>
          <w:b/>
          <w:i/>
        </w:rPr>
        <w:t>”</w:t>
      </w:r>
      <w:r>
        <w:rPr/>
        <w:t xml:space="preserve"> means the time period described in Months and agreed to by the Parties in connection with a particular Transaction. </w:t>
      </w:r>
    </w:p>
    <w:p>
      <w:pPr>
        <w:pStyle w:val="Heading2"/>
        <w:ind w:hanging="0" w:start="0"/>
        <w:rPr/>
      </w:pPr>
      <w:r>
        <w:rPr>
          <w:rFonts w:eastAsia="Arial Narrow"/>
          <w:b/>
          <w:i/>
        </w:rPr>
        <w:t xml:space="preserve"> </w:t>
      </w:r>
      <w:r>
        <w:rPr>
          <w:b/>
          <w:i/>
        </w:rPr>
        <w:t>“</w:t>
      </w:r>
      <w:r>
        <w:rPr>
          <w:b/>
          <w:i/>
          <w:u w:val="single"/>
        </w:rPr>
        <w:t>Transaction</w:t>
      </w:r>
      <w:r>
        <w:rPr>
          <w:b/>
          <w:i/>
        </w:rPr>
        <w:t>”</w:t>
      </w:r>
      <w:r>
        <w:rPr/>
        <w:t xml:space="preserve"> means a transaction agreed to between the Parties in accordance with Section 1 hereof, relating to the purchase or sale of Bandwidth Units and any amendment or modification of such transaction in accordance herewith.</w:t>
      </w:r>
    </w:p>
    <w:p>
      <w:pPr>
        <w:pStyle w:val="Heading2"/>
        <w:ind w:hanging="0" w:start="0"/>
        <w:rPr/>
      </w:pPr>
      <w:r>
        <w:rPr>
          <w:b/>
          <w:i/>
        </w:rPr>
        <w:t>“</w:t>
      </w:r>
      <w:r>
        <w:rPr>
          <w:b/>
          <w:i/>
          <w:u w:val="single"/>
        </w:rPr>
        <w:t>Transaction Agreement</w:t>
      </w:r>
      <w:r>
        <w:rPr>
          <w:b/>
          <w:i/>
        </w:rPr>
        <w:t>”</w:t>
      </w:r>
      <w:r>
        <w:rPr/>
        <w:t xml:space="preserve"> means a written paper-based agreement executed by the Parties to form and effectuate a Transaction.  A Transaction Agreement shall constitute a Confirmation for all purposes hereunder.</w:t>
      </w:r>
    </w:p>
    <w:p>
      <w:pPr>
        <w:pStyle w:val="Heading2"/>
        <w:ind w:hanging="0" w:start="0"/>
        <w:rPr/>
      </w:pPr>
      <w:r>
        <w:rPr>
          <w:b/>
          <w:i/>
        </w:rPr>
        <w:t>“</w:t>
      </w:r>
      <w:r>
        <w:rPr>
          <w:b/>
          <w:i/>
          <w:u w:val="single"/>
        </w:rPr>
        <w:t>Transaction Contract Number</w:t>
      </w:r>
      <w:r>
        <w:rPr>
          <w:b/>
          <w:i/>
        </w:rPr>
        <w:t xml:space="preserve">” </w:t>
      </w:r>
      <w:r>
        <w:rPr/>
        <w:t>means contract identifying information assigned to Buyer and Seller by the PPA in respect of a particular Transaction.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Pooling Points.</w:t>
      </w:r>
    </w:p>
    <w:p>
      <w:pPr>
        <w:pStyle w:val="Heading2"/>
        <w:ind w:hanging="0" w:start="0"/>
        <w:rPr/>
      </w:pPr>
      <w:r>
        <w:rPr>
          <w:b/>
          <w:i/>
        </w:rPr>
        <w:t>“</w:t>
      </w:r>
      <w:r>
        <w:rPr>
          <w:b/>
          <w:i/>
          <w:u w:val="single"/>
        </w:rPr>
        <w:t>Unavailable Seconds</w:t>
      </w:r>
      <w:r>
        <w:rPr>
          <w:b/>
          <w:i/>
        </w:rPr>
        <w:t>”</w:t>
      </w:r>
      <w:r>
        <w:rPr/>
        <w:t xml:space="preserve"> means, in connection with any Transaction,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ind w:hanging="0" w:start="0"/>
        <w:rPr>
          <w:b/>
          <w:u w:val="single"/>
        </w:rPr>
      </w:pPr>
      <w:r>
        <w:rPr>
          <w:b/>
          <w:u w:val="single"/>
        </w:rPr>
        <w:t xml:space="preserve">3. Obligations. </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Section 1 hereof in connection with any Transaction, Seller agrees to make available to Buyer Bandwidth Unit(s) over the Segment that satisfy the applicable QoS for the Term. </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u w:val="single"/>
        </w:rPr>
        <w:t xml:space="preserve"> Failure of Seller to Provide Bandwidth Units at the start of a Month/Failure of Buyer to Accept Bandwidth Units</w:t>
      </w:r>
      <w:r>
        <w:rPr>
          <w:b/>
        </w:rPr>
        <w:t>.</w:t>
      </w:r>
      <w:r>
        <w:rPr/>
        <w:t xml:space="preserve">  (i)</w:t>
      </w:r>
      <w:r>
        <w:rPr>
          <w:b/>
        </w:rPr>
        <w:t xml:space="preserve"> </w:t>
      </w:r>
      <w:r>
        <w:rPr/>
        <w:t>Unless excused by Force Majeure or Buyer’s failure to perform, if Seller fails to make Bandwidth Unit(s) available to Buyer on and as of the start of any Month within the Term (a “</w:t>
      </w:r>
      <w:r>
        <w:rPr>
          <w:b/>
          <w:u w:val="single"/>
        </w:rPr>
        <w:t>Seller Damage Triggering Event</w:t>
      </w:r>
      <w:r>
        <w:rPr/>
        <w:t>”), for each consecutive Day that the Seller fails to provide such Bandwidth Units from and including the first Day of such Month (together, the “</w:t>
      </w:r>
      <w:r>
        <w:rPr>
          <w:b/>
          <w:u w:val="single"/>
        </w:rPr>
        <w:t>Seller Failed Days</w:t>
      </w:r>
      <w:r>
        <w:rPr/>
        <w:t xml:space="preserve">”), Seller shall pay Buyer an amount for such Bandwidth Unit(s), calculated by Buyer equal to the product of (a)(i) the number of Seller Failed Days, </w:t>
      </w:r>
      <w:r>
        <w:rPr>
          <w:u w:val="single"/>
        </w:rPr>
        <w:t>divided</w:t>
      </w:r>
      <w:r>
        <w:rPr/>
        <w:t xml:space="preserve"> </w:t>
      </w:r>
      <w:r>
        <w:rPr>
          <w:u w:val="single"/>
        </w:rPr>
        <w:t>by</w:t>
      </w:r>
      <w:r>
        <w:rPr/>
        <w:t xml:space="preserve"> (ii) thirty (30), and (b) the Cover Price, if positive.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the Contract Price applicable to such Bandwidth Units in accordance with Section 5.  An event giving rise to any payment obligaton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Buyer, as its sole and exclusive remedy (all other remedies being waived, except as otherwise provided in this Section 3.3.or 6), shall recover the amount set forth under the heading “BQoS Damages” in Annex A, with respect to the relevant type of BQoS Bandwidth Unit(s) or as agreed  with respect to SQoS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 (b) exceed the payments due to Seller, Seller shall pay to Buyer such excess amount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 (b);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under the heading “BQoS Damages” in Annex A or as agreed to with respect to SQoS Bandwidth Units  an</w:t>
      </w:r>
      <w:r>
        <w:rPr>
          <w:b/>
        </w:rPr>
        <w:t xml:space="preserve"> “</w:t>
      </w:r>
      <w:r>
        <w:rPr>
          <w:b/>
          <w:u w:val="single"/>
        </w:rPr>
        <w:t>Event of Default Triggering Event”)</w:t>
      </w:r>
      <w:r>
        <w:rPr/>
        <w:t xml:space="preserve">, such event shall constitute an “Event of Default” with respect to Seller under Section 6.1(f). </w:t>
      </w:r>
    </w:p>
    <w:p>
      <w:pPr>
        <w:pStyle w:val="Heading2"/>
        <w:ind w:hanging="0" w:start="0"/>
        <w:rPr/>
      </w:pPr>
      <w:r>
        <w:rPr>
          <w:rFonts w:eastAsia="Arial Narrow"/>
        </w:rPr>
        <w:t xml:space="preserve"> </w:t>
      </w: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 xml:space="preserve">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shall indemnify Seller and any third party or Affiliated provider, operator or contractor of facilities employed in connection with the  Bandwidth Units provided by Seller hereunder (collectively, the </w:t>
      </w:r>
      <w:r>
        <w:rPr>
          <w:b/>
          <w:u w:val="single"/>
        </w:rPr>
        <w:t>“Providers”</w:t>
      </w:r>
      <w:r>
        <w:rPr/>
        <w:t>) against and from any Claims brought against such Provider arising out of or related to the content Transmitted over any Bandwidth Unit sold hereunder.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1710" w:leader="none"/>
        </w:tabs>
        <w:ind w:hanging="0" w:start="0"/>
        <w:rPr/>
      </w:pPr>
      <w:r>
        <w:rPr>
          <w:b/>
          <w:u w:val="single"/>
        </w:rPr>
        <w:t>4. Bandwidth Scheduling and Operations</w:t>
      </w:r>
      <w:r>
        <w:rPr>
          <w:b/>
        </w:rPr>
        <w:t>.</w:t>
      </w:r>
      <w:r>
        <w:rPr/>
        <w:t xml:space="preserve">  [Each Party shall comply at all times with the provisions of the BTO Operating Agreement in respect of each Transaction.  To the extent that any provisions of the BTO Operating Agreement are inconsistent in any manner with the terms of a Transaction, the provisions of the BTO Operating Agreement shall prevail to the extent of such inconsistency.]  Seller shall be solely responsible for the provision of all local distribution facilities, ports, interconnection facilities, network equipment, testing equipment and procedures, and the maintenance and repair of the foregoing, up to each relevant Pooling Point Demarc, and for other facilities or actions necessary for it to sell and provide the Bandwidth Units being sold hereunder.  Buyer shall be solely responsible for the provision of all local distribution facilities, ports, interconnection facilities, network equipment, testing equipment and procedures, and  the maintenance and repair of the foregoing, up to each relevant Pooling Point Demarc, and for other facilities or actions necessary for it to purchase and  accept the Bandwidth Units being purchased hereunder.  In addition, Buyer shall be responsible for any costs and/or expenses associated with its interconnection to Seller at the Pooling Point Demarc within any particular Pooling Point.  Each Party shall conduct its operations and use Bandwidth Units in a manner that does not interrupt, impair or interfere with the operations of the other Party’s system; provided, however, that notwithstanding anything to the contrary in this Agreement, either Party may by at least seven (7) Days prior written notice to the other Party request such other Party to consent to improve, modify, add to, relocate, remove or change a Pooling Point and/or any Pooling Point Demarc (any such improvement, modification, addition, relocation, removal or change, being hereinafter referred to as a</w:t>
      </w:r>
      <w:r>
        <w:rPr>
          <w:b/>
        </w:rPr>
        <w:t xml:space="preserve"> “</w:t>
      </w:r>
      <w:r>
        <w:rPr>
          <w:b/>
          <w:u w:val="single"/>
        </w:rPr>
        <w:t>Pooling Point Change”</w:t>
      </w:r>
      <w:r>
        <w:rPr/>
        <w:t xml:space="preserve">), and; provided, further that the requesting Party shall not be permitted to effect any Pooling Point Change unless and until either (y) the other Party shall have consented in writing to such Pooling Point Change, which consent shall not be unreasonably withheld or delayed, or (z) seven (7) or more days shall have passed since the requesting Party delivered the aforementioned notice to the other Party and such Party shall have failed to provide any written objection to such requested Pooling Point Change.  Any permitted Pooling Point Change shall occur between 8:00 p.m. and 6:00 a.m. (local time at the applicable Pooling Point), and no QoS failure shall be deemed to have occurred to the extent that such Pooling Point Change occurs during such hours.  Each Party is  responsible for requesting the PPA (or its relevant agents or sub-contractors) to provide Access Identifiers at a particular Pooling Point.  Each Party shall notify the PPA of the Term and shall provide the PPA with all other operational data that may be required for the PPA to schedule and test the Bandwidth Unit(s).  [In accordance with the BTO Operating Agreement, the monitoring of the performance will be reported and logged by the PPA (or its relevant agents or sub-contractors ).] </w:t>
      </w:r>
      <w:r>
        <w:rPr>
          <w:b/>
        </w:rPr>
        <w:t xml:space="preserve"> </w:t>
      </w:r>
      <w:r>
        <w:rPr/>
        <w:t xml:space="preserve">Absent manifest error, the PPA’s (or its relevant agent’s or sub-contractor’s) decisions regarding scheduling and testing shall be conclusive as between the Parties. The Parties agree to accept the PPA’s (or its relevant agent’s or sub-contractor’s) declaration to the Parties of any event of Force Majeure with respect to the Pooling Point or related facilities. </w:t>
      </w:r>
    </w:p>
    <w:p>
      <w:pPr>
        <w:pStyle w:val="Heading2"/>
        <w:ind w:hanging="0" w:start="0"/>
        <w:rPr>
          <w:b/>
          <w:u w:val="single"/>
        </w:rPr>
      </w:pPr>
      <w:r>
        <w:rPr>
          <w:b/>
          <w:u w:val="single"/>
        </w:rPr>
        <w:t>5.  Payments/Settlements.</w:t>
      </w:r>
    </w:p>
    <w:p>
      <w:pPr>
        <w:pStyle w:val="Heading2"/>
        <w:ind w:hanging="0" w:start="0"/>
        <w:rPr/>
      </w:pPr>
      <w:r>
        <w:rPr>
          <w:b/>
          <w:u w:val="single"/>
        </w:rPr>
        <w:t>5.1.  Payments</w:t>
      </w:r>
      <w:r>
        <w:rPr/>
        <w:t>.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Buyer shall pay for all Bandwidth Units made available whether used or not.  All amounts payable hereunder are due on the Payment Date of the calendar month in which the billing statement is issued.  All payments hereunder shall be made in immediately available US$ to payee by wire transfer on or before the  due date in respect thereof .  Notices and  payments  shall be sent and made  in accordance with Section 12.3 .  Interest on past due amounts shall accrue at the Default Rate.</w:t>
      </w:r>
    </w:p>
    <w:p>
      <w:pPr>
        <w:pStyle w:val="Heading2"/>
        <w:ind w:hanging="0" w:start="0"/>
        <w:rPr/>
      </w:pPr>
      <w:r>
        <w:rPr>
          <w:b/>
          <w:u w:val="single"/>
        </w:rPr>
        <w:t>5.2.  Netting and Setoff</w:t>
      </w:r>
      <w:r>
        <w:rPr/>
        <w:t xml:space="preserve">.  If the Parties are required to pay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 xml:space="preserve">which such Party has or may be entitled to (whether by operation of law or otherwise).  </w:t>
      </w:r>
    </w:p>
    <w:p>
      <w:pPr>
        <w:pStyle w:val="Heading2"/>
        <w:ind w:hanging="0" w:start="0"/>
        <w:rPr>
          <w:b/>
          <w:u w:val="single"/>
        </w:rPr>
      </w:pPr>
      <w:r>
        <w:rPr>
          <w:b/>
          <w:u w:val="single"/>
        </w:rPr>
        <w:t>6. 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b/>
          <w:i/>
        </w:rPr>
        <w:t>(an “</w:t>
      </w:r>
      <w:r>
        <w:rPr>
          <w:b/>
          <w:i/>
          <w:u w:val="single"/>
        </w:rPr>
        <w:t>Event of Default</w:t>
      </w:r>
      <w:r>
        <w:rPr>
          <w:b/>
          <w:i/>
        </w:rPr>
        <w:t>”)</w:t>
      </w:r>
      <w:r>
        <w:rPr/>
        <w:t xml:space="preserve"> with respect to a Party </w:t>
      </w:r>
      <w:r>
        <w:rPr>
          <w:b/>
        </w:rPr>
        <w:t xml:space="preserve">(the </w:t>
      </w:r>
      <w:r>
        <w:rPr>
          <w:b/>
          <w:i/>
        </w:rPr>
        <w:t>“</w:t>
      </w:r>
      <w:r>
        <w:rPr>
          <w:b/>
          <w:i/>
          <w:u w:val="single"/>
        </w:rPr>
        <w:t>Defaulting Party</w:t>
      </w:r>
      <w:r>
        <w:rPr>
          <w:b/>
          <w:i/>
        </w:rPr>
        <w:t>”)</w:t>
      </w:r>
      <w:r>
        <w:rPr/>
        <w:t xml:space="preserve"> shall mean any of the following:</w:t>
      </w:r>
    </w:p>
    <w:p>
      <w:pPr>
        <w:pStyle w:val="Heading2"/>
        <w:ind w:hanging="0" w:start="0"/>
        <w:rPr/>
      </w:pPr>
      <w:r>
        <w:rPr/>
        <w:t xml:space="preserve">(a) the failure of the Defaulting Party to pay any amount when due under this Agreement, if such failure is not remedied within three (3) Business Days after written notice thereof; </w:t>
      </w:r>
    </w:p>
    <w:p>
      <w:pPr>
        <w:pStyle w:val="Heading2"/>
        <w:ind w:hanging="0" w:start="0"/>
        <w:rPr/>
      </w:pPr>
      <w:r>
        <w:rPr/>
        <w:t xml:space="preserve">(b)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 (b), respectively), and such failure is not excused by Force Majeure or cured within five (5) Business Days after written notice thereof to the Defaulting Party; </w:t>
      </w:r>
    </w:p>
    <w:p>
      <w:pPr>
        <w:pStyle w:val="Heading2"/>
        <w:ind w:hanging="0" w:start="0"/>
        <w:rPr/>
      </w:pPr>
      <w:r>
        <w:rPr/>
        <w:t xml:space="preserve">(c) the Defaulting Party shall be subject to a Bankruptcy Proceeding; </w:t>
      </w:r>
    </w:p>
    <w:p>
      <w:pPr>
        <w:pStyle w:val="Heading2"/>
        <w:ind w:hanging="0" w:start="0"/>
        <w:rPr/>
      </w:pPr>
      <w:r>
        <w:rPr/>
        <w:t xml:space="preserve">(d) the failure of a Party’s Guarantor, if any, to execute its Guaranty, to perform any covenant in its Guaranty, the expiration, termination or cessation of such Guaranty, or the occurrence of a Bankruptcy Proceeding with respect to such Guarantor; </w:t>
      </w:r>
    </w:p>
    <w:p>
      <w:pPr>
        <w:pStyle w:val="Heading2"/>
        <w:ind w:hanging="0" w:start="0"/>
        <w:rPr/>
      </w:pPr>
      <w:r>
        <w:rPr/>
        <w:t xml:space="preserve">(e) any representation or warranty made by a Party hereunder shall prove to have been untrue in any material respect when made; </w:t>
      </w:r>
    </w:p>
    <w:p>
      <w:pPr>
        <w:pStyle w:val="Heading2"/>
        <w:ind w:hanging="0" w:start="0"/>
        <w:rPr/>
      </w:pPr>
      <w:r>
        <w:rPr/>
        <w:t xml:space="preserve">(f) the occurrence, as to Seller, of an Event of Default Triggering Event; </w:t>
      </w:r>
    </w:p>
    <w:p>
      <w:pPr>
        <w:pStyle w:val="Heading2"/>
        <w:ind w:hanging="0" w:start="0"/>
        <w:rPr/>
      </w:pPr>
      <w:r>
        <w:rPr/>
        <w:t>[(g) with respect to Company, at any time, Enron Corp. shall have defaulted on its indebtedness to third parties, resulting in obligations of Enron Corp. in excess of US$ one hundred million (US$ 100,000,000) being accelerated or capable of being accelerated, or with respect to Counterparty, at any time, ______________ shall have defaulted on its indebtedness to third parties, resulting in obligations of ___________ in excess of _____________, being accelerated or capable of being accelerated;] or</w:t>
      </w:r>
    </w:p>
    <w:p>
      <w:pPr>
        <w:pStyle w:val="Heading2"/>
        <w:ind w:hanging="0" w:start="0"/>
        <w:rPr/>
      </w:pPr>
      <w:r>
        <w:rPr/>
        <w:t>(h) the occurrence of a Material Adverse Change with respect to the Defaulting Party; provided, that such Material Adverse Change shall not be considered an Event of Default if the Defaulting Party establishes and maintains for so long as such Material Adverse Change is continuing, Performance Assurance  in favor of the Non-Defaulting Party in form and amount acceptable to the Non-Defaulting Party.</w:t>
      </w:r>
    </w:p>
    <w:p>
      <w:pPr>
        <w:pStyle w:val="Heading2"/>
        <w:ind w:hanging="0" w:start="0"/>
        <w:rPr/>
      </w:pPr>
      <w:r>
        <w:rPr/>
        <w:t xml:space="preserve">Upon the occurrence and during the continuation of an Event of Default as to the Defaulting Party, the other party </w:t>
      </w:r>
      <w:r>
        <w:rPr>
          <w:b/>
          <w:i/>
        </w:rPr>
        <w:t>(“</w:t>
      </w:r>
      <w:r>
        <w:rPr>
          <w:b/>
          <w:i/>
          <w:u w:val="single"/>
        </w:rPr>
        <w:t>Non-Defaulting Party</w:t>
      </w:r>
      <w:r>
        <w:rPr>
          <w:b/>
          <w:i/>
        </w:rPr>
        <w:t>”)</w:t>
      </w:r>
      <w:r>
        <w:rPr/>
        <w:t xml:space="preserve"> may, in its sole discretion, </w:t>
      </w:r>
    </w:p>
    <w:p>
      <w:pPr>
        <w:pStyle w:val="Heading2"/>
        <w:ind w:hanging="0" w:start="0"/>
        <w:rPr/>
      </w:pPr>
      <w:r>
        <w:rPr/>
        <w:t xml:space="preserve">(i) accelerate and liquidate the Parties’ respective obligations under all Transactions outstanding under this Agreement by giving not more than 20 Days notice to the Defaulting Party declaring a date </w:t>
      </w:r>
      <w:r>
        <w:rPr>
          <w:b/>
        </w:rPr>
        <w:t>(</w:t>
      </w:r>
      <w:r>
        <w:rPr>
          <w:b/>
          <w:i/>
          <w:u w:val="single"/>
        </w:rPr>
        <w:t>“Early Termination Date”</w:t>
      </w:r>
      <w:r>
        <w:rPr>
          <w:b/>
        </w:rPr>
        <w:t xml:space="preserve">) </w:t>
      </w:r>
      <w:r>
        <w:rPr/>
        <w:t xml:space="preserve">(which shall be no earlier than the date of such notice) on which date such Transactions shall terminate; </w:t>
      </w:r>
    </w:p>
    <w:p>
      <w:pPr>
        <w:pStyle w:val="Heading2"/>
        <w:ind w:hanging="0" w:start="0"/>
        <w:rPr/>
      </w:pPr>
      <w:r>
        <w:rPr/>
        <w:t>(ii) withhold any payments due to the Defaulting Party until such Event of Default is cured; and/or</w:t>
      </w:r>
    </w:p>
    <w:p>
      <w:pPr>
        <w:pStyle w:val="Heading2"/>
        <w:ind w:hanging="0" w:start="0"/>
        <w:rPr/>
      </w:pPr>
      <w:r>
        <w:rPr/>
        <w:t xml:space="preserve">(iii) suspend performance of its obligations under this Agreement and any Transaction until such Event of Default is cured. </w:t>
      </w:r>
    </w:p>
    <w:p>
      <w:pPr>
        <w:pStyle w:val="Heading2"/>
        <w:ind w:hanging="0" w:start="0"/>
        <w:rPr/>
      </w:pPr>
      <w:r>
        <w:rPr/>
        <w:t xml:space="preserve">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the related Confirmation(s) shall remain in effect without prejudice to the Non-Defaulting Party’s rights under this Section 6.1 to declare an Early Termination Date as to such remaining Transactions (or part(s) thereof) upon a subsequent Event of Default). </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t xml:space="preserve">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 (b) into a single net amount, and the Non-Defaulting Party shall notify the Defaulting Party of such net amount owed.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 (b), if any, exceed its aggregate Gains, the Defaulting Party shall, within five (5) Days of its receipt of such notice, pay the net amount as an early termination payment </w:t>
      </w:r>
      <w:r>
        <w:rPr>
          <w:b/>
          <w:u w:val="single"/>
        </w:rPr>
        <w:t>(“Early Termination Payment”)</w:t>
      </w:r>
      <w:r>
        <w:rPr/>
        <w:t xml:space="preserve"> to the Non-Defaulting Party, including interest at the Default Rate from the Early Termination Date until paid, plus any other unpaid amounts (but, as to the terminated Transactions or part(s) thereof, excluding any unpaid amounts which are taken into account in the definition of “Losses”) owing by the Defaulting Party under this Agreement. If the Non-Defaulting Party’s aggregate Gains exceed its aggregate Losses and Costs and amounts due to it under Sections 3.3 (b),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 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the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Heading2"/>
        <w:ind w:hanging="0" w:start="0"/>
        <w:rPr/>
      </w:pPr>
      <w:r>
        <w:rPr>
          <w:b/>
          <w:u w:val="single"/>
        </w:rPr>
        <w:t>6.3.  Expenses</w:t>
      </w:r>
      <w:r>
        <w:rPr>
          <w:u w:val="single"/>
        </w:rPr>
        <w:t>.</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Guaranty Agreement</w:t>
      </w:r>
      <w:r>
        <w:rPr>
          <w:b/>
        </w:rPr>
        <w:t>.</w:t>
      </w:r>
      <w:r>
        <w:rPr/>
        <w:t xml:space="preserve">  (a) In order to secure all payment obligations of Company to Counterparty under this Agreement, Company shall cause its Guarantor to execute and deliver to Counterparty a guaranty agreement in the amount of ____________U.S. Dollars ($___________), which guaranty agreement shall be substantially in the form of </w:t>
      </w:r>
      <w:r>
        <w:rPr>
          <w:u w:val="single"/>
        </w:rPr>
        <w:t xml:space="preserve">Exhibit C-1 </w:t>
      </w:r>
      <w:r>
        <w:rPr/>
        <w:t xml:space="preserve">attached hereto.  </w:t>
      </w:r>
    </w:p>
    <w:p>
      <w:pPr>
        <w:pStyle w:val="Heading2"/>
        <w:ind w:hanging="0" w:start="0"/>
        <w:rPr/>
      </w:pPr>
      <w:r>
        <w:rPr/>
        <w:t xml:space="preserve">(b) In order to secure all payment obligations of Counterparty to Company under this Agreement, Counterparty shall cause its Guarantor to execute and deliver to Company a guaranty agreement in the amount of ____________ U.S. Dollars ($___________), which guaranty agreement shall be substantially in the form of </w:t>
      </w:r>
      <w:r>
        <w:rPr>
          <w:u w:val="single"/>
        </w:rPr>
        <w:t>Exhibit C-2</w:t>
      </w:r>
      <w:r>
        <w:rPr/>
        <w:t xml:space="preserve"> attached hereto.</w:t>
      </w:r>
      <w:r>
        <w:rPr>
          <w:b/>
        </w:rPr>
        <w:t>]</w:t>
      </w:r>
    </w:p>
    <w:p>
      <w:pPr>
        <w:pStyle w:val="Heading2"/>
        <w:ind w:hanging="0" w:start="0"/>
        <w:rPr/>
      </w:pPr>
      <w:r>
        <w:rPr>
          <w:b/>
          <w:u w:val="single"/>
        </w:rPr>
        <w:t>[6.5   Performance Assurance Requirement/Termination Payment Threshold</w:t>
      </w:r>
      <w:r>
        <w:rPr>
          <w:u w:val="single"/>
        </w:rPr>
        <w:t>.</w:t>
      </w:r>
      <w:r>
        <w:rPr/>
        <w:t xml:space="preserve">  If at any time and from time-to-time during the term of this Agreement (and notwithstanding whether an Event of Default has occurred), the Early Termination Payment that would be owed to a Party in respect of all Transactions, if then terminated, exceeds a threshold of ___________ </w:t>
      </w:r>
      <w:r>
        <w:rPr>
          <w:b/>
          <w:u w:val="single"/>
        </w:rPr>
        <w:t>(</w:t>
      </w:r>
      <w:r>
        <w:rPr>
          <w:u w:val="single"/>
        </w:rPr>
        <w:t>the</w:t>
      </w:r>
      <w:r>
        <w:rPr>
          <w:b/>
          <w:u w:val="single"/>
        </w:rPr>
        <w:t xml:space="preserve"> “Threshold Amount”)</w:t>
      </w:r>
      <w:r>
        <w:rPr/>
        <w:t xml:space="preserve">, such Party </w:t>
      </w:r>
      <w:r>
        <w:rPr>
          <w:b/>
          <w:u w:val="single"/>
        </w:rPr>
        <w:t>(</w:t>
      </w:r>
      <w:r>
        <w:rPr>
          <w:u w:val="single"/>
        </w:rPr>
        <w:t>the</w:t>
      </w:r>
      <w:r>
        <w:rPr>
          <w:b/>
          <w:u w:val="single"/>
        </w:rPr>
        <w:t xml:space="preserve"> “Beneficiary Party”</w:t>
      </w:r>
      <w:r>
        <w:rPr>
          <w:b/>
        </w:rPr>
        <w:t>)</w:t>
      </w:r>
      <w:r>
        <w:rPr/>
        <w:t xml:space="preserve">, on any Business Day, may request the other Party </w:t>
      </w:r>
      <w:r>
        <w:rPr>
          <w:b/>
        </w:rPr>
        <w:t>(</w:t>
      </w:r>
      <w:r>
        <w:rPr/>
        <w:t>the</w:t>
      </w:r>
      <w:r>
        <w:rPr>
          <w:b/>
        </w:rPr>
        <w:t xml:space="preserve"> “Posting Party”)</w:t>
      </w:r>
      <w:r>
        <w:rPr/>
        <w:t xml:space="preserve"> to provide Performance Assurance in such form as the Beneficiary Party shall reasonably request.  Such Performance Assurance shall have a value equal to or in excess of the difference between (a) such Early Termination Payment, and (b) the Threshold Amount (rounding upwards for any fractional amount to the next nearest [Dollar]), if positive. In determining the value of any Performance Assurance, the Beneficiary Party may, in its sole discretion, discount the fair market value of any such Performance Assurance in order to reflect the actual proceeds that the Beneficiary Party could reasonably expect to receive upon liquidation of, or the exercise of its rights under and in respect of, such Performance Assurance.  Performance Assurance shall be delivered within two (2) Business Days after the date of such request by the Beneficiary Party.  On any Business Day (but no more frequently than weekly with respect to Letters of Credit and daily with respect to cash), the Posting Party, at its sole cost and expense, may request that Performance Assurance be returned or reduced to the extent of any reduction of the amount of the Early Termination Payment (calculated as set forth above in this Section) (rounding upwards for </w:t>
      </w:r>
      <w:r>
        <w:rPr>
          <w:u w:val="single"/>
        </w:rPr>
        <w:t>any</w:t>
      </w:r>
      <w:r>
        <w:rPr/>
        <w:t xml:space="preserve"> fractional amount to the next nearest [Dollar]). </w:t>
      </w:r>
    </w:p>
    <w:p>
      <w:pPr>
        <w:pStyle w:val="Heading2"/>
        <w:ind w:hanging="0" w:start="0"/>
        <w:rPr/>
      </w:pPr>
      <w:r>
        <w:rPr>
          <w:b/>
          <w:u w:val="single"/>
        </w:rPr>
        <w:t>6.6. Interest, Dividends and Other Amounts</w:t>
      </w:r>
      <w:r>
        <w:rPr>
          <w:b/>
        </w:rPr>
        <w:t xml:space="preserve">.  </w:t>
      </w:r>
      <w:r>
        <w:rPr/>
        <w:t>So long as no Event of Default with respect to the Posting Party has occurred and is continuing, and to the extent that an obligation to deliver Performance Assurance would not be created or increased, the Beneficiary Party shall transfer to the Posting Party, any interest, dividends or other amounts paid with respect to the Performance Assurance on the last Business Day of the calendar month in which such interest, dividends or other amounts  were received by the Beneficiary Party.  On or after the occurrence of an Event of Default with respect to the Posting Party, the Beneficiary Party shall retain any such interest, dividends or other amounts received by the Beneficiary Party in respect of the Performance Assurance until all obligations of the Posting Party under this Agreement have been satisfied. ]</w:t>
      </w:r>
    </w:p>
    <w:p>
      <w:pPr>
        <w:pStyle w:val="Heading2"/>
        <w:ind w:hanging="0" w:start="0"/>
        <w:rPr/>
      </w:pPr>
      <w:r>
        <w:rPr>
          <w:b/>
          <w:u w:val="single"/>
        </w:rPr>
        <w:t>7.  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(the</w:t>
      </w:r>
      <w:r>
        <w:rPr>
          <w:b/>
          <w:i/>
        </w:rPr>
        <w:t xml:space="preserve"> “</w:t>
      </w:r>
      <w:r>
        <w:rPr>
          <w:b/>
          <w:i/>
          <w:u w:val="single"/>
        </w:rPr>
        <w:t>Claiming Party</w:t>
      </w:r>
      <w:r>
        <w:rPr>
          <w:b/>
          <w:i/>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Pooling Point or related facilities within such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Maejure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PPA may declare an event of  Force Majeure as to a Pooling Point and/or related facilities with such Pooling Point.</w:t>
      </w:r>
    </w:p>
    <w:p>
      <w:pPr>
        <w:pStyle w:val="Heading2"/>
        <w:ind w:hanging="0" w:start="0"/>
        <w:rPr>
          <w:b/>
          <w:u w:val="single"/>
        </w:rPr>
      </w:pPr>
      <w:r>
        <w:rPr>
          <w:b/>
          <w:u w:val="single"/>
        </w:rPr>
        <w:t>8.  Taxes.</w:t>
      </w:r>
    </w:p>
    <w:p>
      <w:pPr>
        <w:pStyle w:val="Heading2"/>
        <w:ind w:hanging="0" w:start="0"/>
        <w:rPr/>
      </w:pPr>
      <w:r>
        <w:rPr>
          <w:b/>
          <w:u w:val="single"/>
        </w:rPr>
        <w:t>8.1.</w:t>
      </w:r>
      <w:r>
        <w:rPr>
          <w:u w:val="single"/>
        </w:rPr>
        <w:t xml:space="preserve">  </w:t>
      </w:r>
      <w:r>
        <w:rPr>
          <w:b/>
          <w:u w:val="single"/>
        </w:rPr>
        <w:t>Allocation of and Indemnity for Taxes</w:t>
      </w:r>
      <w:r>
        <w:rPr/>
        <w:t>. Buyer is liable for and shall pay, cause to be paid (or reimburse Seller if Seller has paid) all Taxes applicable to the Transaction, including any Taxes imposed or collected by a taxing authority with jurisdiction over Buyer. Buyer agrees to pay any such Taxes and to indemnify and hold Seller harm</w:t>
        <w:softHyphen/>
        <w:t xml:space="preserve">less from any Claims for such Taxes. </w:t>
      </w:r>
    </w:p>
    <w:p>
      <w:pPr>
        <w:pStyle w:val="Heading2"/>
        <w:ind w:hanging="0" w:start="0"/>
        <w:rPr>
          <w:b/>
          <w:u w:val="single"/>
        </w:rPr>
      </w:pPr>
      <w:r>
        <w:rPr>
          <w:b/>
          <w:u w:val="single"/>
        </w:rPr>
        <w:t xml:space="preserve">8.2.  New Taxes.  </w:t>
      </w:r>
    </w:p>
    <w:p>
      <w:pPr>
        <w:pStyle w:val="Heading2"/>
        <w:ind w:hanging="0" w:start="0"/>
        <w:rPr/>
      </w:pPr>
      <w:r>
        <w:rPr/>
        <w:t xml:space="preserve">(a) </w:t>
      </w:r>
      <w:r>
        <w:rPr>
          <w:u w:val="single"/>
        </w:rPr>
        <w:t>Pass-Through Taxes.</w:t>
      </w:r>
      <w:r>
        <w:rPr/>
        <w:t xml:space="preserve">  If, </w:t>
      </w:r>
    </w:p>
    <w:p>
      <w:pPr>
        <w:pStyle w:val="Heading2"/>
        <w:ind w:hanging="0" w:start="0"/>
        <w:rPr/>
      </w:pPr>
      <w:r>
        <w:rPr/>
        <w:t xml:space="preserve">(i) a New Tax occurs as to any Transaction, </w:t>
      </w:r>
      <w:r>
        <w:rPr>
          <w:u w:val="single"/>
        </w:rPr>
        <w:t>and</w:t>
      </w:r>
      <w:r>
        <w:rPr/>
        <w:t xml:space="preserve"> </w:t>
      </w:r>
    </w:p>
    <w:p>
      <w:pPr>
        <w:pStyle w:val="Heading2"/>
        <w:ind w:hanging="0" w:start="0"/>
        <w:rPr/>
      </w:pPr>
      <w:r>
        <w:rPr/>
        <w:t xml:space="preserve">(ii) Buyer would be responsible for such New Tax if it were a Tax under Section 8.1, </w:t>
      </w:r>
      <w:r>
        <w:rPr>
          <w:u w:val="single"/>
        </w:rPr>
        <w:t>and</w:t>
      </w:r>
      <w:r>
        <w:rPr/>
        <w:t xml:space="preserve"> </w:t>
      </w:r>
    </w:p>
    <w:p>
      <w:pPr>
        <w:pStyle w:val="Heading2"/>
        <w:ind w:hanging="0" w:start="0"/>
        <w:rPr/>
      </w:pPr>
      <w:r>
        <w:rPr/>
        <w:t xml:space="preserve">(iii) such New Tax is, due to and on the basis of laws, regulations and applicable contracts of Buyer in effect as of the effective date of the New Tax, of the type which Buyer can pass directly through to, or be reimbursed by, another Person other than Seller, </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xml:space="preserve">. If, </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 xml:space="preserve">(iii) clause (a) above does not apply, </w:t>
      </w:r>
    </w:p>
    <w:p>
      <w:pPr>
        <w:pStyle w:val="Heading2"/>
        <w:ind w:hanging="0" w:start="0"/>
        <w:rPr/>
      </w:pPr>
      <w:r>
        <w:rPr/>
        <w:t xml:space="preserve">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  </w:t>
      </w:r>
    </w:p>
    <w:p>
      <w:pPr>
        <w:pStyle w:val="Heading2"/>
        <w:ind w:hanging="0" w:start="720" w:end="0"/>
        <w:rPr/>
      </w:pPr>
      <w:r>
        <w:rPr/>
        <w:t xml:space="preserve">(A) Buyer must give the Seller at least 30 Days prior notice </w:t>
      </w:r>
      <w:r>
        <w:rPr>
          <w:b/>
        </w:rPr>
        <w:t>(“</w:t>
      </w:r>
      <w:r>
        <w:rPr>
          <w:b/>
          <w:u w:val="single"/>
        </w:rPr>
        <w:t>Agreement Period</w:t>
      </w:r>
      <w:r>
        <w:rPr>
          <w:b/>
        </w:rPr>
        <w:t>”)</w:t>
      </w:r>
      <w:r>
        <w:rPr/>
        <w:t xml:space="preserve">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Heading2"/>
        <w:ind w:hanging="0" w:start="720" w:end="0"/>
        <w:rPr/>
      </w:pPr>
      <w:r>
        <w:rPr/>
        <w:t xml:space="preserve">(B)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 </w:t>
      </w:r>
    </w:p>
    <w:p>
      <w:pPr>
        <w:pStyle w:val="Heading2"/>
        <w:ind w:hanging="0" w:start="720" w:end="0"/>
        <w:rPr/>
      </w:pPr>
      <w:r>
        <w:rPr/>
        <w:t xml:space="preserve">(C)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 </w:t>
      </w:r>
    </w:p>
    <w:p>
      <w:pPr>
        <w:pStyle w:val="Heading2"/>
        <w:ind w:hanging="0" w:start="720" w:end="0"/>
        <w:rPr/>
      </w:pPr>
      <w:r>
        <w:rPr/>
        <w:t xml:space="preserve">(D) if a mutual sharing agreement is not reached and the Seller does not elect to pay the New Tax for any period of time within the Agreement Period, the Early Termination Date shall take effect as to the affected Transaction(s), </w:t>
      </w:r>
    </w:p>
    <w:p>
      <w:pPr>
        <w:pStyle w:val="Heading2"/>
        <w:ind w:hanging="0" w:start="720" w:end="0"/>
        <w:rPr/>
      </w:pPr>
      <w:r>
        <w:rPr/>
        <w:t xml:space="preserve">(E)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 </w:t>
      </w:r>
    </w:p>
    <w:p>
      <w:pPr>
        <w:pStyle w:val="Heading2"/>
        <w:ind w:hanging="0" w:start="720" w:end="0"/>
        <w:rPr/>
      </w:pPr>
      <w:r>
        <w:rPr/>
        <w:t>(F) such Early Termination Payment shall be payable as provided in Section 6.2.</w:t>
      </w:r>
    </w:p>
    <w:p>
      <w:pPr>
        <w:pStyle w:val="Heading2"/>
        <w:ind w:hanging="0" w:start="0"/>
        <w:rPr/>
      </w:pPr>
      <w:r>
        <w:rPr>
          <w:b/>
          <w:u w:val="single"/>
        </w:rPr>
        <w:t>9.  Limited Liability for Damages</w:t>
      </w:r>
      <w:r>
        <w:rPr/>
        <w:t>.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ind w:hanging="0" w:start="0"/>
        <w:rPr/>
      </w:pPr>
      <w:r>
        <w:rPr>
          <w:b/>
          <w:u w:val="single"/>
        </w:rPr>
        <w:t>10.   Representations, Warranties and Covenants</w:t>
      </w:r>
      <w:r>
        <w:rPr>
          <w:u w:val="single"/>
        </w:rPr>
        <w:t>.</w:t>
      </w:r>
      <w:r>
        <w:rPr/>
        <w:t xml:space="preserve"> On the date of entering into this Agreement and on the date of entering into each Transaction, </w:t>
      </w:r>
    </w:p>
    <w:p>
      <w:pPr>
        <w:pStyle w:val="Heading2"/>
        <w:ind w:hanging="0" w:start="0"/>
        <w:rPr/>
      </w:pPr>
      <w:r>
        <w:rPr/>
        <w:t xml:space="preserve">(a) each Party represents and warrants to the other Party that:  </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 xml:space="preserve">(iii) it has all authorizations, licenses and consents necessary to legally perform its obligations under this Agreement and each Transaction, </w:t>
      </w:r>
    </w:p>
    <w:p>
      <w:pPr>
        <w:pStyle w:val="Heading2"/>
        <w:ind w:hanging="0" w:start="0"/>
        <w:rPr/>
      </w:pPr>
      <w:r>
        <w:rPr/>
        <w:t xml:space="preserve">(iv) the execution, delivery and performance of this Agreement and each Transaction are within its power, have been duly authorized by all necessary action and do not violate its governing documents or any law applicable to it, </w:t>
      </w:r>
    </w:p>
    <w:p>
      <w:pPr>
        <w:pStyle w:val="Heading2"/>
        <w:ind w:hanging="0" w:start="0"/>
        <w:rPr/>
      </w:pPr>
      <w:r>
        <w:rPr/>
        <w:t xml:space="preserve">(v) this Agreement constitutes and each Transaction when entered into in accordance with this Agreement will constitute a legally valid and binding obligation enforceable against it in accordance with its terms, subject to any equitable defenses, </w:t>
      </w:r>
    </w:p>
    <w:p>
      <w:pPr>
        <w:pStyle w:val="Heading2"/>
        <w:ind w:hanging="0" w:start="0"/>
        <w:rPr/>
      </w:pPr>
      <w:r>
        <w:rPr/>
        <w:t xml:space="preserve">(vi) there are no Bankruptcy Proceedings pending or being contemplated by it or to its knowledge, threatened against it, and </w:t>
      </w:r>
    </w:p>
    <w:p>
      <w:pPr>
        <w:pStyle w:val="Heading2"/>
        <w:ind w:hanging="0" w:start="0"/>
        <w:rPr/>
      </w:pPr>
      <w:r>
        <w:rPr/>
        <w:t>(vii) there are no legal proceedings that materially adversely affect its ability to perform under this Agreement or any Transaction.</w:t>
      </w:r>
    </w:p>
    <w:p>
      <w:pPr>
        <w:pStyle w:val="Heading2"/>
        <w:ind w:hanging="0" w:start="0"/>
        <w:rPr/>
      </w:pPr>
      <w:r>
        <w:rPr/>
        <w:t>Each Party covenants that it will cause the representations and warranties set forth in this Section 10 (a)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the annual report of its Guarantor containing audited consolidated financial statements for such fiscal year certified by independent certified public accountants, and (ii) within 60 Days after the end of each of its first three fiscal quarters of each fiscal year,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ind w:hanging="0" w:start="0"/>
        <w:rPr/>
      </w:pPr>
      <w:r>
        <w:rPr>
          <w:b/>
          <w:u w:val="single"/>
        </w:rPr>
        <w:t>11.  Arbitration</w:t>
      </w:r>
      <w:r>
        <w:rPr>
          <w:u w:val="single"/>
        </w:rPr>
        <w:t>.</w:t>
      </w:r>
      <w:r>
        <w:rPr/>
        <w:t xml:space="preserve"> Any dispute relating to this Agreement shall be resolved by binding arbitration governed by the U.S. Federal Arbitration Act </w:t>
      </w:r>
      <w:r>
        <w:rPr>
          <w:b/>
          <w:i/>
        </w:rPr>
        <w:t>(“</w:t>
      </w:r>
      <w:r>
        <w:rPr>
          <w:b/>
          <w:i/>
          <w:u w:val="single"/>
        </w:rPr>
        <w:t>FAA</w:t>
      </w:r>
      <w:r>
        <w:rPr>
          <w:b/>
          <w:i/>
        </w:rPr>
        <w:t>”)</w:t>
      </w:r>
      <w:r>
        <w:rPr/>
        <w:t xml:space="preserve"> and conducted in accordance with the American Arbitration Association </w:t>
      </w:r>
      <w:r>
        <w:rPr>
          <w:b/>
        </w:rPr>
        <w:t>(“</w:t>
      </w:r>
      <w:r>
        <w:rPr>
          <w:b/>
          <w:u w:val="single"/>
        </w:rPr>
        <w:t>AAA</w:t>
      </w:r>
      <w:r>
        <w:rPr>
          <w:b/>
        </w:rPr>
        <w:t>”)</w:t>
      </w:r>
      <w:r>
        <w:rPr/>
        <w:t xml:space="preserve"> Commercial Arbitration Rules </w:t>
      </w:r>
      <w:r>
        <w:rPr>
          <w:b/>
          <w:i/>
        </w:rPr>
        <w:t>(“</w:t>
      </w:r>
      <w:r>
        <w:rPr>
          <w:b/>
          <w:i/>
          <w:u w:val="single"/>
        </w:rPr>
        <w:t>Rules</w:t>
      </w:r>
      <w:r>
        <w:rPr>
          <w:b/>
          <w:i/>
        </w:rPr>
        <w:t>”)</w:t>
      </w:r>
      <w:r>
        <w:rPr/>
        <w:t xml:space="preserve">,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 </w:t>
      </w:r>
    </w:p>
    <w:p>
      <w:pPr>
        <w:pStyle w:val="Heading2"/>
        <w:ind w:hanging="0" w:start="0"/>
        <w:rPr>
          <w:b/>
          <w:u w:val="single"/>
        </w:rPr>
      </w:pPr>
      <w:r>
        <w:rPr>
          <w:b/>
          <w:u w:val="single"/>
        </w:rPr>
        <w:t>12. Miscellaneous.</w:t>
      </w:r>
    </w:p>
    <w:p>
      <w:pPr>
        <w:pStyle w:val="Heading2"/>
        <w:ind w:hanging="0" w:start="0"/>
        <w:rPr/>
      </w:pPr>
      <w:r>
        <w:rPr>
          <w:b/>
          <w:u w:val="single"/>
        </w:rPr>
        <w:t>12.1.  Successors and Assigns; Assignment</w:t>
      </w:r>
      <w:r>
        <w:rPr/>
        <w:t>. Transactions arising under this Agreement shall be binding upon and inure to the benefit of, and may be performed by, the respective successors and assigns of the Parties, except that no assignment, pledge, or other transfer of a Bandwidth Unit under any Transaction by either Party shall operate to release the assignor, pledgor or transferor from any of its obligations under this Agreement or under the relevant Transaction(s) unless: (1) consent to  such release is given in writing by the other Party, which consent shall not be unreasonably withheld or delayed; (2) such assignment, pledge or transfer is made to an Affiliate of such Party and will not cause such Affiliate to be a Defaulting Party at the time of such assignment, pledge or transfer, or (3) such assignment, pledge or transfer is incident to a merger, reorganization, consolidation or other transaction in which substantially all of the assets of the assignor, pledgor or transferor are transferred to another Person who assumes all of the obligations of the assignor, pledgor or transferor under this Agreement.</w:t>
      </w:r>
    </w:p>
    <w:p>
      <w:pPr>
        <w:pStyle w:val="Heading2"/>
        <w:ind w:hanging="0" w:start="0"/>
        <w:rPr/>
      </w:pPr>
      <w:r>
        <w:rPr>
          <w:b/>
          <w:u w:val="single"/>
        </w:rPr>
        <w:t>12.2.   Warranties</w:t>
      </w:r>
      <w:r>
        <w:rPr>
          <w:b/>
        </w:rPr>
        <w:t>.</w:t>
      </w:r>
      <w:r>
        <w:rPr/>
        <w:t xml:space="preserve"> </w:t>
      </w:r>
      <w:r>
        <w:rPr>
          <w:b/>
        </w:rPr>
        <w:t xml:space="preserve">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 </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t>.  Neither Party shall disclose the terms of any Transaction to a third party (other than the employees, lenders, counsel or accountants of the Party and its Affiliates or prospective purchasers, directly or indirectly, of a Party or all or substantially all of a Party’s assets or of any rights under this Agreement, provided such Persons shall have agreed to keep such terms confidential) except in order to comply with any applicable law, order, regulation or exchange rule. Each Party shall notify the other Party of any proceeding of which it is aware which may result in disclosure of the terms of any Transaction (other than as permitted hereunder) and use reasonable efforts to prevent or limit the disclosure. The provisions of this Agreement,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t>. This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u w:val="single"/>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w:t>
        <w:softHyphen/>
        <w:t xml:space="preserve">tual property right of the other Party except in accordance with the terms of a separate license agreement between the Parties granting such rights. </w:t>
      </w:r>
    </w:p>
    <w:p>
      <w:pPr>
        <w:pStyle w:val="Heading2"/>
        <w:ind w:hanging="0" w:start="0"/>
        <w:rPr/>
      </w:pPr>
      <w:r>
        <w:rPr>
          <w:b/>
          <w:u w:val="single"/>
        </w:rPr>
        <w:t>12.10.   Survival.</w:t>
      </w:r>
      <w:r>
        <w:rPr/>
        <w:t xml:space="preserve"> The Parties’ obligations under this Agreement which by their nature are intended to continue beyond the termination or expiration of this Agreement shall survive the termination or expiration of this Agreement.</w:t>
      </w:r>
    </w:p>
    <w:p>
      <w:pPr>
        <w:pStyle w:val="Heading2"/>
        <w:ind w:hanging="0" w:start="0"/>
        <w:rPr/>
      </w:pPr>
      <w:r>
        <w:rPr>
          <w:b/>
          <w:u w:val="single"/>
        </w:rPr>
        <w:t>12.11.  Indemnity.</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its Affiliates or either of their respective employees, agents, or contractors in connection with the provision of Bandwidth Units or other performance hereunder.  </w:t>
      </w:r>
    </w:p>
    <w:p>
      <w:pPr>
        <w:pStyle w:val="Heading2"/>
        <w:ind w:hanging="0" w:start="0"/>
        <w:rPr/>
      </w:pPr>
      <w:r>
        <w:rPr/>
        <w:t xml:space="preserve">(b) With respect to third parties that use the Bandwidth Units provided by the Seller hereunder, Buyer shall defend, indemnify and hold harmless Seller against any Claims by such parties arising or resulting from any defect in or failure to provide the Bandwidth Units sold hereunder.  </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under and in all Bankruptcy Proceedings and will be treated similarly under and in all Bankruptcy Proceedings (regardless of the jurisdiction of application or competence of such law), rulings, orders, directives or pronouncements, made pursuant thereto.</w:t>
      </w:r>
    </w:p>
    <w:p>
      <w:pPr>
        <w:pStyle w:val="ListContinue2"/>
        <w:ind w:start="0" w:end="0"/>
        <w:rPr>
          <w:rFonts w:ascii="Arial Narrow" w:hAnsi="Arial Narrow" w:cs="Arial Narrow"/>
          <w:sz w:val="20"/>
        </w:rPr>
      </w:pPr>
      <w:r>
        <w:rPr>
          <w:rFonts w:cs="Arial Narrow" w:ascii="Arial Narrow" w:hAnsi="Arial Narrow"/>
          <w:sz w:val="20"/>
        </w:rPr>
        <w:t>IN WITNESS WHEREOF, the Parties hereto have made and executed this Master Agreement, signed by their respective duly authorized officers or individuals, as of the Effective Date.</w:t>
      </w:r>
    </w:p>
    <w:p>
      <w:pPr>
        <w:pStyle w:val="ListContinue2"/>
        <w:ind w:start="0" w:end="0"/>
        <w:rPr>
          <w:rFonts w:ascii="Arial Narrow" w:hAnsi="Arial Narrow" w:cs="Arial Narrow"/>
          <w:sz w:val="20"/>
        </w:rPr>
      </w:pPr>
      <w:r>
        <w:rPr>
          <w:rFonts w:cs="Arial Narrow" w:ascii="Arial Narrow" w:hAnsi="Arial Narrow"/>
          <w:sz w:val="20"/>
        </w:rPr>
      </w:r>
    </w:p>
    <w:tbl>
      <w:tblPr>
        <w:tblW w:w="11304" w:type="dxa"/>
        <w:jc w:val="start"/>
        <w:tblInd w:w="0" w:type="dxa"/>
        <w:tblLayout w:type="fixed"/>
        <w:tblCellMar>
          <w:top w:w="0" w:type="dxa"/>
          <w:start w:w="108" w:type="dxa"/>
          <w:bottom w:w="0" w:type="dxa"/>
          <w:end w:w="108" w:type="dxa"/>
        </w:tblCellMar>
      </w:tblPr>
      <w:tblGrid>
        <w:gridCol w:w="5652"/>
        <w:gridCol w:w="5652"/>
      </w:tblGrid>
      <w:tr>
        <w:trPr/>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[COUNTERPARTY]</w:t>
            </w:r>
          </w:p>
        </w:tc>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ENRON BROADBAND SERVICES, L.P.</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rPr>
                <w:rFonts w:ascii="Arial Narrow" w:hAnsi="Arial Narrow" w:cs="Arial Narrow"/>
                <w:b/>
                <w:sz w:val="20"/>
              </w:rPr>
            </w:pPr>
            <w:r>
              <w:rPr>
                <w:rFonts w:cs="Arial Narrow" w:ascii="Arial Narrow" w:hAnsi="Arial Narrow"/>
                <w:b/>
                <w:sz w:val="20"/>
              </w:rPr>
              <w:t>By:  ENRON BROADBAND SERVICES, INC.,</w:t>
            </w:r>
          </w:p>
          <w:p>
            <w:pPr>
              <w:pStyle w:val="Normal"/>
              <w:ind w:hanging="378" w:start="378" w:end="0"/>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its General Partner</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snapToGrid w:val="false"/>
              <w:rPr>
                <w:rFonts w:ascii="Arial Narrow" w:hAnsi="Arial Narrow" w:cs="Arial Narrow"/>
                <w:b/>
                <w:smallCaps/>
                <w:sz w:val="20"/>
              </w:rPr>
            </w:pPr>
            <w:r>
              <w:rPr>
                <w:rFonts w:cs="Arial Narrow" w:ascii="Arial Narrow" w:hAnsi="Arial Narrow"/>
                <w:b/>
                <w:smallCaps/>
                <w:sz w:val="20"/>
              </w:rPr>
            </w:r>
          </w:p>
        </w:tc>
      </w:tr>
      <w:tr>
        <w:trPr/>
        <w:tc>
          <w:tcPr>
            <w:tcW w:w="5652" w:type="dxa"/>
            <w:tcBorders/>
          </w:tcPr>
          <w:p>
            <w:pPr>
              <w:pStyle w:val="Normal"/>
              <w:snapToGrid w:val="false"/>
              <w:spacing w:before="0" w:after="120"/>
              <w:rPr>
                <w:rFonts w:ascii="Arial Narrow" w:hAnsi="Arial Narrow" w:cs="Arial Narrow"/>
                <w:b/>
                <w:sz w:val="20"/>
              </w:rPr>
            </w:pPr>
            <w:r>
              <w:rPr>
                <w:rFonts w:cs="Arial Narrow" w:ascii="Arial Narrow" w:hAnsi="Arial Narrow"/>
                <w:b/>
                <w:sz w:val="20"/>
              </w:rPr>
            </w:r>
          </w:p>
        </w:tc>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r>
      <w:tr>
        <w:trPr/>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Normal"/>
        <w:spacing w:before="0" w:after="120"/>
        <w:jc w:val="both"/>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rPr>
        <w:t>(</w:t>
      </w:r>
      <w:r>
        <w:rPr>
          <w:rFonts w:cs="Arial Narrow" w:ascii="Arial Narrow" w:hAnsi="Arial Narrow"/>
          <w:b/>
          <w:sz w:val="20"/>
          <w:u w:val="single"/>
        </w:rPr>
        <w:t xml:space="preserve">“BQoS”) </w:t>
      </w:r>
      <w:r>
        <w:rPr>
          <w:rFonts w:cs="Arial Narrow" w:ascii="Arial Narrow" w:hAnsi="Arial Narrow"/>
          <w:sz w:val="20"/>
        </w:rPr>
        <w:t>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DS-3</w:t>
      </w:r>
      <w:r>
        <w:rPr>
          <w:rFonts w:cs="Arial Narrow" w:ascii="Arial Narrow" w:hAnsi="Arial Narrow"/>
          <w:b/>
          <w:i/>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eastAsia="Arial Narrow" w:cs="Arial Narrow" w:ascii="Arial Narrow" w:hAnsi="Arial Narrow"/>
          <w:b/>
          <w:i/>
          <w:sz w:val="20"/>
        </w:rPr>
        <w:t xml:space="preserve"> </w:t>
      </w: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u w:val="single"/>
        </w:rPr>
        <w:t>(“BQoS”)</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i/>
          <w:sz w:val="20"/>
        </w:rPr>
        <w:t>“</w:t>
      </w:r>
      <w:r>
        <w:rPr>
          <w:rFonts w:cs="Arial Narrow" w:ascii="Arial Narrow" w:hAnsi="Arial Narrow"/>
          <w:b/>
          <w:i/>
          <w:sz w:val="20"/>
          <w:u w:val="single"/>
        </w:rPr>
        <w:t>OC-3</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xml:space="preserve"> are applicable to OC-3C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i/>
          <w:sz w:val="20"/>
        </w:rPr>
        <w:t>“</w:t>
      </w:r>
      <w:r>
        <w:rPr>
          <w:rFonts w:cs="Arial Narrow" w:ascii="Arial Narrow" w:hAnsi="Arial Narrow"/>
          <w:b/>
          <w:i/>
          <w:sz w:val="20"/>
          <w:u w:val="single"/>
        </w:rPr>
        <w:t>OC-3C</w:t>
      </w:r>
      <w:r>
        <w:rPr>
          <w:rFonts w:cs="Arial Narrow" w:ascii="Arial Narrow" w:hAnsi="Arial Narrow"/>
          <w:b/>
          <w:i/>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List"/>
        <w:jc w:val="center"/>
        <w:rPr>
          <w:rFonts w:ascii="Arial Narrow" w:hAnsi="Arial Narrow" w:cs="Arial Narrow"/>
          <w:b/>
          <w:sz w:val="20"/>
        </w:rPr>
      </w:pPr>
      <w:r>
        <w:br w:type="page"/>
      </w:r>
      <w:r>
        <w:rPr>
          <w:rFonts w:cs="Arial Narrow" w:ascii="Arial Narrow" w:hAnsi="Arial Narrow"/>
          <w:b/>
          <w:sz w:val="20"/>
        </w:rPr>
        <w:t>ANNEX A-4</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xml:space="preserve"> are applicable to OC-12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OC-12</w:t>
      </w:r>
      <w:r>
        <w:rPr>
          <w:rFonts w:cs="Arial Narrow" w:ascii="Arial Narrow" w:hAnsi="Arial Narrow"/>
          <w:b/>
          <w:i/>
          <w:sz w:val="20"/>
        </w:rPr>
        <w:t>”</w:t>
      </w:r>
      <w:r>
        <w:rPr>
          <w:rFonts w:cs="Arial Narrow" w:ascii="Arial Narrow" w:hAnsi="Arial Narrow"/>
          <w:sz w:val="20"/>
        </w:rPr>
        <w:t xml:space="preserve"> means a SONET channel equal to 622.08 Mbps and configured with any combination of STS-1 and/or STS-3C signaling paths.</w:t>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ommentText"/>
        <w:spacing w:before="0" w:after="120"/>
        <w:jc w:val="center"/>
        <w:rPr>
          <w:rFonts w:ascii="Arial Narrow" w:hAnsi="Arial Narrow" w:cs="Arial Narrow"/>
          <w:b/>
        </w:rPr>
      </w:pPr>
      <w:r>
        <w:br w:type="page"/>
      </w:r>
      <w:r>
        <w:rPr>
          <w:rFonts w:cs="Arial Narrow" w:ascii="Arial Narrow" w:hAnsi="Arial Narrow"/>
          <w:b/>
        </w:rPr>
        <w:t>ANNEX A-5</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STS-12C</w:t>
            </w:r>
          </w:p>
        </w:tc>
      </w:tr>
    </w:tbl>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xml:space="preserve"> are applicable to OC 12C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OC-12C</w:t>
      </w:r>
      <w:r>
        <w:rPr>
          <w:rFonts w:cs="Arial Narrow" w:ascii="Arial Narrow" w:hAnsi="Arial Narrow"/>
          <w:b/>
          <w:i/>
          <w:sz w:val="20"/>
        </w:rPr>
        <w:t>”</w:t>
      </w:r>
      <w:r>
        <w:rPr>
          <w:rFonts w:cs="Arial Narrow" w:ascii="Arial Narrow" w:hAnsi="Arial Narrow"/>
          <w:sz w:val="20"/>
        </w:rPr>
        <w:t xml:space="preserve"> means a SONET channel equal to 622.08 Mbps and configured with 1 STS-12C signaling path.</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footerReference w:type="default" r:id="rId2"/>
          <w:type w:val="nextPage"/>
          <w:pgSz w:w="12240" w:h="15840"/>
          <w:pgMar w:left="1800" w:right="1800" w:gutter="0" w:header="0" w:top="1440" w:footer="720" w:bottom="776"/>
          <w:pgNumType w:start="2" w:fmt="decimal"/>
          <w:formProt w:val="false"/>
          <w:textDirection w:val="lrTb"/>
          <w:docGrid w:type="default" w:linePitch="360" w:charSpace="0"/>
        </w:sectPr>
      </w:pPr>
    </w:p>
    <w:p>
      <w:pPr>
        <w:pStyle w:val="Heading1"/>
        <w:ind w:hanging="0" w:start="0"/>
        <w:rPr/>
      </w:pPr>
      <w:r>
        <w:rPr/>
        <w:t>ANNEX A-6</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xml:space="preserve"> are applicable to OC-48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b/>
          <w:i/>
        </w:rPr>
        <w:t>“</w:t>
      </w:r>
      <w:r>
        <w:rPr>
          <w:b/>
          <w:i/>
          <w:u w:val="single"/>
        </w:rPr>
        <w:t>OC-48</w:t>
      </w:r>
      <w:r>
        <w:rPr>
          <w:b/>
          <w:i/>
        </w:rPr>
        <w:t>”</w:t>
      </w:r>
      <w:r>
        <w:rPr/>
        <w:t xml:space="preserve"> means a SONET Channel equal to 2.488 Gbps and configured with </w:t>
      </w:r>
      <w:r>
        <w:rPr>
          <w:rFonts w:cs="Arial Narrow" w:ascii="Arial Narrow" w:hAnsi="Arial Narrow"/>
          <w:sz w:val="20"/>
        </w:rPr>
        <w:t>any combination of STS-1, STS-3C and/or STS-12C signaling paths.</w:t>
      </w:r>
    </w:p>
    <w:p>
      <w:pPr>
        <w:pStyle w:val="BodyText"/>
        <w:rPr/>
      </w:pPr>
      <w:r>
        <w:rPr>
          <w:rFonts w:eastAsia="Arial"/>
          <w:b/>
          <w:i/>
        </w:rPr>
        <w:t xml:space="preserve"> </w:t>
      </w:r>
      <w:r>
        <w:rPr>
          <w:b/>
          <w:i/>
        </w:rPr>
        <w:t>“</w:t>
      </w:r>
      <w:r>
        <w:rPr>
          <w:b/>
          <w:i/>
          <w:u w:val="single"/>
        </w:rPr>
        <w:t>Gbps</w:t>
      </w:r>
      <w:r>
        <w:rPr>
          <w:b/>
          <w:i/>
        </w:rPr>
        <w:t>”</w:t>
      </w:r>
      <w:r>
        <w:rPr/>
        <w:t xml:space="preserve"> means billion bits per second. </w:t>
      </w:r>
    </w:p>
    <w:p>
      <w:pPr>
        <w:pStyle w:val="List"/>
        <w:rPr>
          <w:rFonts w:ascii="Arial Narrow" w:hAnsi="Arial Narrow" w:cs="Arial Narrow"/>
          <w:sz w:val="20"/>
        </w:rPr>
      </w:pPr>
      <w:r>
        <w:rPr>
          <w:rFonts w:cs="Arial Narrow" w:ascii="Arial Narrow" w:hAnsi="Arial Narrow"/>
          <w:sz w:val="20"/>
        </w:rPr>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footerReference w:type="default" r:id="rId3"/>
          <w:footerReference w:type="first" r:id="rId4"/>
          <w:type w:val="nextPage"/>
          <w:pgSz w:w="12240" w:h="15840"/>
          <w:pgMar w:left="1800" w:right="1800" w:gutter="0" w:header="0" w:top="1440" w:footer="720" w:bottom="776"/>
          <w:pgNumType w:fmt="decimal"/>
          <w:formProt w:val="false"/>
          <w:textDirection w:val="lrTb"/>
          <w:docGrid w:type="default" w:linePitch="360" w:charSpace="0"/>
        </w:sectPr>
      </w:pPr>
    </w:p>
    <w:p>
      <w:pPr>
        <w:pStyle w:val="Heading1"/>
        <w:ind w:hanging="0" w:start="0"/>
        <w:rPr/>
      </w:pPr>
      <w:r>
        <w:rPr/>
        <w:t>ANNEX A-7</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xml:space="preserve"> are applicable to OC-48C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OC-48C</w:t>
      </w:r>
      <w:r>
        <w:rPr>
          <w:rFonts w:cs="Arial Narrow" w:ascii="Arial Narrow" w:hAnsi="Arial Narrow"/>
          <w:b/>
          <w:i/>
          <w:sz w:val="20"/>
        </w:rPr>
        <w:t>”</w:t>
      </w:r>
      <w:r>
        <w:rPr>
          <w:rFonts w:cs="Arial Narrow" w:ascii="Arial Narrow" w:hAnsi="Arial Narrow"/>
          <w:sz w:val="20"/>
        </w:rPr>
        <w:t xml:space="preserve"> means a SONET channel equal to 2.488 Gbps and configured with 1 STS-48C signaling path.</w:t>
      </w:r>
    </w:p>
    <w:p>
      <w:pPr>
        <w:pStyle w:val="List"/>
        <w:rPr/>
      </w:pPr>
      <w:r>
        <w:rPr>
          <w:rFonts w:cs="Arial Narrow" w:ascii="Arial Narrow" w:hAnsi="Arial Narrow"/>
          <w:b/>
          <w:sz w:val="20"/>
        </w:rPr>
        <w:t>“</w:t>
      </w:r>
      <w:r>
        <w:rPr>
          <w:rFonts w:cs="Arial Narrow" w:ascii="Arial Narrow" w:hAnsi="Arial Narrow"/>
          <w:b/>
          <w:i/>
          <w:sz w:val="20"/>
          <w:u w:val="single"/>
        </w:rPr>
        <w:t>Gbps</w:t>
      </w:r>
      <w:r>
        <w:rPr>
          <w:rFonts w:cs="Arial Narrow" w:ascii="Arial Narrow" w:hAnsi="Arial Narrow"/>
          <w:b/>
          <w:sz w:val="20"/>
        </w:rPr>
        <w:t>”</w:t>
      </w:r>
      <w:r>
        <w:rPr>
          <w:rFonts w:cs="Arial Narrow" w:ascii="Arial Narrow" w:hAnsi="Arial Narrow"/>
          <w:sz w:val="20"/>
        </w:rPr>
        <w:t xml:space="preserve"> means billion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footerReference w:type="default" r:id="rId5"/>
          <w:footerReference w:type="first" r:id="rId6"/>
          <w:type w:val="nextPage"/>
          <w:pgSz w:w="12240" w:h="15840"/>
          <w:pgMar w:left="1800" w:right="1800" w:gutter="0" w:header="0" w:top="1440" w:footer="720" w:bottom="776"/>
          <w:pgNumType w:fmt="decimal"/>
          <w:formProt w:val="false"/>
          <w:textDirection w:val="lrTb"/>
          <w:docGrid w:type="default" w:linePitch="360" w:charSpace="0"/>
        </w:sectPr>
      </w:pPr>
    </w:p>
    <w:p>
      <w:pPr>
        <w:pStyle w:val="Heading1"/>
        <w:numPr>
          <w:ilvl w:val="0"/>
          <w:numId w:val="0"/>
        </w:numPr>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A-8</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xml:space="preserve"> are applicable to OC-192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OC-192</w:t>
      </w:r>
      <w:r>
        <w:rPr>
          <w:rFonts w:cs="Arial Narrow" w:ascii="Arial Narrow" w:hAnsi="Arial Narrow"/>
          <w:b/>
          <w:i/>
          <w:sz w:val="20"/>
        </w:rPr>
        <w:t>”</w:t>
      </w:r>
      <w:r>
        <w:rPr>
          <w:rFonts w:cs="Arial Narrow" w:ascii="Arial Narrow" w:hAnsi="Arial Narrow"/>
          <w:sz w:val="20"/>
        </w:rPr>
        <w:t xml:space="preserve"> means a SONET channel equal to 9.953 Gbps and configured with any combination of STS-1, STS-3C, STS-12C and/or STS-48C signaling paths.</w:t>
      </w:r>
    </w:p>
    <w:p>
      <w:pPr>
        <w:pStyle w:val="BodyText"/>
        <w:rPr>
          <w:rFonts w:ascii="Arial Narrow" w:hAnsi="Arial Narrow" w:cs="Arial Narrow"/>
          <w:sz w:val="20"/>
        </w:rPr>
      </w:pPr>
      <w:r>
        <w:rPr>
          <w:rFonts w:cs="Arial Narrow" w:ascii="Arial Narrow" w:hAnsi="Arial Narrow"/>
          <w:sz w:val="20"/>
        </w:rPr>
        <w:t>.</w:t>
      </w:r>
    </w:p>
    <w:p>
      <w:pPr>
        <w:pStyle w:val="BodyTex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pPr>
      <w:r>
        <w:br w:type="page"/>
      </w:r>
      <w:r>
        <w:rPr/>
        <w:t>ANNEX A-9</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 xml:space="preserve">The following benchmark quality of service standards </w:t>
      </w:r>
      <w:r>
        <w:rPr>
          <w:rFonts w:cs="Arial Narrow" w:ascii="Arial Narrow" w:hAnsi="Arial Narrow"/>
          <w:b/>
          <w:i/>
          <w:sz w:val="20"/>
        </w:rPr>
        <w:t>“</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xml:space="preserve"> are applicable to OC-192C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Bullet"/>
        <w:rPr/>
      </w:pPr>
      <w:r>
        <w:rPr/>
      </w:r>
    </w:p>
    <w:p>
      <w:pPr>
        <w:pStyle w:val="BodyText"/>
        <w:rPr>
          <w:rFonts w:ascii="Arial Narrow" w:hAnsi="Arial Narrow" w:eastAsia="Arial Narrow" w:cs="Arial Narrow"/>
          <w:vanish/>
          <w:sz w:val="20"/>
        </w:rPr>
      </w:pPr>
      <w:r>
        <w:rPr>
          <w:rFonts w:eastAsia="Arial Narrow" w:cs="Arial Narrow" w:ascii="Arial Narrow" w:hAnsi="Arial Narrow"/>
          <w:vanish/>
          <w:sz w:val="20"/>
        </w:rPr>
        <w:t xml:space="preserve"> </w:t>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BodyText"/>
        <w:rPr>
          <w:rFonts w:ascii="Arial Narrow" w:hAnsi="Arial Narrow" w:cs="Arial Narrow"/>
          <w:i/>
          <w:i/>
          <w:sz w:val="20"/>
        </w:rPr>
      </w:pPr>
      <w:r>
        <w:rPr>
          <w:rFonts w:cs="Arial Narrow" w:ascii="Arial Narrow" w:hAnsi="Arial Narrow"/>
          <w:b/>
          <w:i/>
          <w:sz w:val="20"/>
        </w:rPr>
        <w:t>“</w:t>
      </w:r>
      <w:r>
        <w:rPr>
          <w:rFonts w:cs="Arial Narrow" w:ascii="Arial Narrow" w:hAnsi="Arial Narrow"/>
          <w:b/>
          <w:i/>
          <w:sz w:val="20"/>
          <w:u w:val="single"/>
        </w:rPr>
        <w:t>OC-192C</w:t>
      </w:r>
      <w:r>
        <w:rPr>
          <w:rFonts w:cs="Arial Narrow" w:ascii="Arial Narrow" w:hAnsi="Arial Narrow"/>
          <w:i/>
          <w:sz w:val="20"/>
        </w:rPr>
        <w:t xml:space="preserve">” </w:t>
      </w:r>
      <w:r>
        <w:rPr>
          <w:rFonts w:cs="Arial Narrow" w:ascii="Arial Narrow" w:hAnsi="Arial Narrow"/>
          <w:sz w:val="20"/>
        </w:rPr>
        <w:t>means a SONET channel equal to 9.953 Gbps configured with 1STS-192C signaling path.</w:t>
      </w:r>
    </w:p>
    <w:p>
      <w:pPr>
        <w:pStyle w:val="Lis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tabs>
          <w:tab w:val="clear" w:pos="720"/>
          <w:tab w:val="left" w:pos="3690" w:leader="none"/>
        </w:tabs>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2"/>
        <w:ind w:hanging="0" w:start="0"/>
        <w:jc w:val="center"/>
        <w:rPr>
          <w:b/>
        </w:rPr>
      </w:pPr>
      <w:r>
        <w:br w:type="page"/>
      </w:r>
      <w:r>
        <w:rPr>
          <w:b/>
        </w:rPr>
        <w:t>Annex B</w:t>
      </w:r>
    </w:p>
    <w:p>
      <w:pPr>
        <w:pStyle w:val="Heading3"/>
        <w:jc w:val="center"/>
        <w:rPr>
          <w:rFonts w:ascii="Arial Narrow" w:hAnsi="Arial Narrow" w:cs="Arial Narrow"/>
          <w:sz w:val="20"/>
        </w:rPr>
      </w:pPr>
      <w:r>
        <w:rPr>
          <w:rFonts w:cs="Arial Narrow" w:ascii="Arial Narrow" w:hAnsi="Arial Narrow"/>
          <w:sz w:val="20"/>
        </w:rPr>
        <w:t>Market Pooling Points</w:t>
      </w:r>
    </w:p>
    <w:p>
      <w:pPr>
        <w:pStyle w:val="Normal"/>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1517</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111 8th Avenue</w:t>
            </w:r>
          </w:p>
          <w:p>
            <w:pPr>
              <w:pStyle w:val="Normal"/>
              <w:spacing w:before="0" w:after="120"/>
              <w:rPr>
                <w:rFonts w:ascii="Arial Narrow" w:hAnsi="Arial Narrow" w:cs="Arial Narrow"/>
                <w:sz w:val="20"/>
              </w:rPr>
            </w:pPr>
            <w:r>
              <w:rPr>
                <w:rFonts w:cs="Arial Narrow" w:ascii="Arial Narrow" w:hAnsi="Arial Narrow"/>
                <w:color w:val="000000"/>
                <w:sz w:val="20"/>
                <w:lang w:eastAsia="en-US"/>
              </w:rPr>
              <w:t>New York, NY 10011</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300</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530 W. 6th Street</w:t>
            </w:r>
          </w:p>
          <w:p>
            <w:pPr>
              <w:pStyle w:val="Normal"/>
              <w:spacing w:before="0" w:after="120"/>
              <w:rPr>
                <w:rFonts w:ascii="Arial Narrow" w:hAnsi="Arial Narrow" w:cs="Arial Narrow"/>
                <w:sz w:val="20"/>
              </w:rPr>
            </w:pPr>
            <w:r>
              <w:rPr>
                <w:rFonts w:cs="Arial Narrow" w:ascii="Arial Narrow" w:hAnsi="Arial Narrow"/>
                <w:color w:val="000000"/>
                <w:sz w:val="20"/>
                <w:lang w:eastAsia="en-US"/>
              </w:rPr>
              <w:t>Los Angeles, CA 90014</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Los Angeles, CA-LA PP</w:t>
            </w:r>
          </w:p>
        </w:tc>
      </w:tr>
    </w:tbl>
    <w:p>
      <w:pPr>
        <w:pStyle w:val="BodyText"/>
        <w:rPr>
          <w:rFonts w:ascii="Arial Narrow" w:hAnsi="Arial Narrow" w:cs="Arial Narrow"/>
          <w:sz w:val="20"/>
        </w:rPr>
      </w:pPr>
      <w:r>
        <w:rPr>
          <w:rFonts w:cs="Arial Narrow" w:ascii="Arial Narrow" w:hAnsi="Arial Narrow"/>
          <w:sz w:val="20"/>
        </w:rPr>
      </w:r>
      <w:r>
        <w:br w:type="page"/>
      </w:r>
    </w:p>
    <w:p>
      <w:pPr>
        <w:pStyle w:val="BodyText"/>
        <w:numPr>
          <w:ilvl w:val="0"/>
          <w:numId w:val="0"/>
        </w:numPr>
        <w:jc w:val="center"/>
        <w:outlineLvl w:val="0"/>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MASTER BANDWIDTH PURCHASE AND</w:t>
      </w:r>
    </w:p>
    <w:p>
      <w:pPr>
        <w:pStyle w:val="BodyText"/>
        <w:jc w:val="center"/>
        <w:rPr>
          <w:rFonts w:ascii="Arial Narrow" w:hAnsi="Arial Narrow" w:cs="Arial Narrow"/>
          <w:sz w:val="20"/>
        </w:rPr>
      </w:pPr>
      <w:r>
        <w:rPr>
          <w:rFonts w:cs="Arial Narrow" w:ascii="Arial Narrow" w:hAnsi="Arial Narrow"/>
          <w:sz w:val="20"/>
        </w:rPr>
        <w:t xml:space="preserve">SALE AGREEMENT </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31">
            <wp:simplePos x="0" y="0"/>
            <wp:positionH relativeFrom="column">
              <wp:posOffset>-502920</wp:posOffset>
            </wp:positionH>
            <wp:positionV relativeFrom="paragraph">
              <wp:posOffset>68580</wp:posOffset>
            </wp:positionV>
            <wp:extent cx="995680" cy="981710"/>
            <wp:effectExtent l="0" t="0" r="0" b="0"/>
            <wp:wrapNone/>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7"/>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rFonts w:ascii="Arial Narrow" w:hAnsi="Arial Narrow" w:cs="Arial Narrow"/>
          <w:sz w:val="20"/>
        </w:rPr>
      </w:pPr>
      <w:r>
        <w:rPr>
          <w:rFonts w:cs="Arial Narrow" w:ascii="Arial Narrow" w:hAnsi="Arial Narrow"/>
          <w:sz w:val="20"/>
        </w:rPr>
        <w:t xml:space="preserve">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to [a telephone conversation] [an exchange of electronic communications between the Parties’ representatives] on the Trade Date (defined below) by and between Enron Broadband Services,  L.P. (“Company”) and _____________________ (“Counterparty”) (collectively, the “Parties”).  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[DS-3][OC-3][OC-3C][OC-12][OC-12C][OC-48][OC-48C][OC-192][OC-192C],made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Number of Bandwidth Units:</w:t>
        <w:tab/>
        <w:t>[ ______ ]</w:t>
      </w:r>
    </w:p>
    <w:p>
      <w:pPr>
        <w:pStyle w:val="Normal"/>
        <w:jc w:val="both"/>
        <w:rPr>
          <w:rFonts w:ascii="Arial Narrow" w:hAnsi="Arial Narrow" w:cs="Arial Narrow"/>
          <w:b/>
          <w:sz w:val="20"/>
        </w:rPr>
      </w:pPr>
      <w:r>
        <w:rPr>
          <w:rFonts w:cs="Arial Narrow" w:ascii="Arial Narrow" w:hAnsi="Arial Narrow"/>
          <w:b/>
          <w:sz w:val="20"/>
        </w:rPr>
      </w:r>
    </w:p>
    <w:p>
      <w:pPr>
        <w:pStyle w:val="BodyText2"/>
        <w:rPr/>
      </w:pPr>
      <w:r>
        <w:rPr>
          <w:rFonts w:cs="Arial Narrow" w:ascii="Arial Narrow" w:hAnsi="Arial Narrow"/>
          <w:b/>
          <w:sz w:val="20"/>
        </w:rPr>
        <w:t>Unit Price:</w:t>
        <w:tab/>
      </w:r>
      <w:r>
        <w:rPr>
          <w:rFonts w:cs="Arial Narrow" w:ascii="Arial Narrow" w:hAnsi="Arial Narrow"/>
          <w:sz w:val="20"/>
        </w:rPr>
        <w:tab/>
        <w:t>US$ _____________ per Month</w:t>
      </w:r>
    </w:p>
    <w:p>
      <w:pPr>
        <w:pStyle w:val="BodyText2"/>
        <w:rPr>
          <w:rFonts w:ascii="Arial Narrow" w:hAnsi="Arial Narrow" w:cs="Arial Narrow"/>
          <w:b/>
          <w:sz w:val="20"/>
        </w:rPr>
      </w:pPr>
      <w:r>
        <w:rPr>
          <w:rFonts w:cs="Arial Narrow" w:ascii="Arial Narrow" w:hAnsi="Arial Narrow"/>
          <w:b/>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 xml:space="preserve">Buyer and Seller shall  each contact the PPA at least [  ] Business Days prior to the beginning of the Term and advise the PPA of the Transaction, their respective Access Identifiers and any other information required by the PPA.  Buyer and Seller shall accept the scheduling decisions of the PPA.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BROADBAND SERVICES,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 PARTY NAME]</w:t>
        <w:tab/>
        <w:tab/>
        <w:tab/>
        <w:tab/>
        <w:tab/>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footerReference w:type="default" r:id="rId8"/>
          <w:footerReference w:type="first" r:id="rId9"/>
          <w:type w:val="nextPage"/>
          <w:pgSz w:w="12240" w:h="15840"/>
          <w:pgMar w:left="1800" w:right="1800" w:gutter="0" w:header="0" w:top="1440" w:footer="720" w:bottom="776"/>
          <w:pgNumType w:start="1" w:fmt="decimal"/>
          <w:formProt w:val="false"/>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w:t>
      </w:r>
    </w:p>
    <w:p>
      <w:pPr>
        <w:pStyle w:val="Normal"/>
        <w:jc w:val="center"/>
        <w:rPr>
          <w:rFonts w:ascii="Arial Narrow" w:hAnsi="Arial Narrow" w:cs="Arial Narrow"/>
          <w:b/>
          <w:sz w:val="20"/>
        </w:rPr>
      </w:pPr>
      <w:r>
        <w:rPr>
          <w:rFonts w:cs="Arial Narrow" w:ascii="Arial Narrow" w:hAnsi="Arial Narrow"/>
          <w:b/>
          <w:sz w:val="20"/>
        </w:rPr>
        <w:t>MASTER BANDWIDTH PURCHASE AND SALE AGREEMENT</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ENRON BROADBAND SERVICES, L.P.</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NationsBank of Texas-Dallas</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ABA Routing # </w:t>
            </w:r>
            <w:r>
              <w:rPr>
                <w:rFonts w:cs="Arial Narrow" w:ascii="Arial Narrow" w:hAnsi="Arial Narrow"/>
                <w:sz w:val="20"/>
                <w:u w:val="single"/>
              </w:rPr>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FAX No.: (713)</w:t>
            </w:r>
            <w:r>
              <w:rPr>
                <w:rFonts w:cs="Arial Narrow" w:ascii="Arial Narrow" w:hAnsi="Arial Narrow"/>
                <w:sz w:val="20"/>
                <w:u w:val="single"/>
              </w:rPr>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Inc.</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Credit and Collections</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pPr>
            <w:r>
              <w:rPr>
                <w:rFonts w:cs="Arial Narrow" w:ascii="Arial Narrow" w:hAnsi="Arial Narrow"/>
                <w:sz w:val="20"/>
              </w:rPr>
              <w:t>(713)</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On Site Contact Information: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24 Hour Contact:</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r>
        <w:br w:type="page"/>
      </w:r>
    </w:p>
    <w:p>
      <w:pPr>
        <w:pStyle w:val="Normal"/>
        <w:ind w:hanging="90" w:end="0"/>
        <w:rPr>
          <w:rFonts w:ascii="Arial Narrow" w:hAnsi="Arial Narrow" w:cs="Arial Narrow"/>
          <w:sz w:val="20"/>
        </w:rPr>
      </w:pPr>
      <w:r>
        <w:rPr>
          <w:rFonts w:cs="Arial Narrow" w:ascii="Arial Narrow" w:hAnsi="Arial Narrow"/>
          <w:sz w:val="20"/>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COUNTERPARTY:</w:t>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NOTICES &amp; CORRESPONDENCE:</w:t>
            </w:r>
          </w:p>
        </w:tc>
        <w:tc>
          <w:tcPr>
            <w:tcW w:w="5198" w:type="dxa"/>
            <w:tcBorders/>
          </w:tcPr>
          <w:p>
            <w:pPr>
              <w:pStyle w:val="Normal"/>
              <w:tabs>
                <w:tab w:val="clear" w:pos="720"/>
                <w:tab w:val="left" w:pos="-4716" w:leader="none"/>
                <w:tab w:val="left" w:pos="-864" w:leader="none"/>
              </w:tabs>
              <w:jc w:val="both"/>
              <w:rPr>
                <w:rFonts w:ascii="Arial Narrow" w:hAnsi="Arial Narrow" w:cs="Arial Narrow"/>
                <w:b/>
                <w:sz w:val="20"/>
              </w:rPr>
            </w:pPr>
            <w:r>
              <w:rPr>
                <w:rFonts w:cs="Arial Narrow" w:ascii="Arial Narrow" w:hAnsi="Arial Narrow"/>
                <w:b/>
                <w:sz w:val="20"/>
              </w:rPr>
              <w:t>PAYMENTS:</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4284" w:leader="none"/>
              </w:tabs>
              <w:snapToGrid w:val="false"/>
              <w:jc w:val="both"/>
              <w:rPr>
                <w:rStyle w:val="PageNumber"/>
                <w:rFonts w:ascii="Arial Narrow" w:hAnsi="Arial Narrow" w:cs="Arial Narrow"/>
                <w:sz w:val="20"/>
              </w:rPr>
            </w:pPr>
            <w:r>
              <w:rPr>
                <w:rFonts w:cs="Arial Narrow" w:ascii="Arial Narrow" w:hAnsi="Arial Narrow"/>
                <w:sz w:val="20"/>
                <w:u w:val="single"/>
              </w:rPr>
            </w:r>
          </w:p>
        </w:tc>
        <w:tc>
          <w:tcPr>
            <w:tcW w:w="5198" w:type="dxa"/>
            <w:tcBorders/>
          </w:tcPr>
          <w:p>
            <w:pPr>
              <w:pStyle w:val="Normal"/>
              <w:tabs>
                <w:tab w:val="clear" w:pos="720"/>
                <w:tab w:val="left" w:pos="-4716" w:leader="none"/>
                <w:tab w:val="left" w:pos="-864" w:leader="none"/>
              </w:tabs>
              <w:snapToGrid w:val="false"/>
              <w:jc w:val="both"/>
              <w:rPr>
                <w:rStyle w:val="PageNumber"/>
                <w:rFonts w:ascii="Arial Narrow" w:hAnsi="Arial Narrow" w:cs="Arial Narrow"/>
                <w:sz w:val="20"/>
              </w:rPr>
            </w:pPr>
            <w:r>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tcBorders/>
          </w:tcPr>
          <w:p>
            <w:pPr>
              <w:pStyle w:val="Normal"/>
              <w:tabs>
                <w:tab w:val="clear" w:pos="720"/>
                <w:tab w:val="left" w:pos="-4716" w:leader="none"/>
                <w:tab w:val="left" w:pos="-864"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ABA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 xml:space="preserve">Account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No.:</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Confirmation: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INVOICES AND ACCOUNTING MATTERS:</w:t>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b/>
                <w:sz w:val="20"/>
              </w:rPr>
            </w:pPr>
            <w:r>
              <w:rPr>
                <w:rFonts w:cs="Arial Narrow" w:ascii="Arial Narrow" w:hAnsi="Arial Narrow"/>
                <w:b/>
                <w:sz w:val="20"/>
              </w:rPr>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tab/>
            </w:r>
            <w:r>
              <w:rPr>
                <w:rFonts w:cs="Arial Narrow" w:ascii="Arial Narrow" w:hAnsi="Arial Narrow"/>
                <w:sz w:val="20"/>
                <w:u w:val="single"/>
              </w:rPr>
              <w:tab/>
              <w:tab/>
              <w:tab/>
              <w:tab/>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 xml:space="preserve">Phone No.: </w:t>
            </w:r>
            <w:r>
              <w:rPr>
                <w:rFonts w:cs="Arial Narrow" w:ascii="Arial Narrow" w:hAnsi="Arial Narrow"/>
                <w:sz w:val="20"/>
                <w:u w:val="single"/>
              </w:rPr>
              <w:tab/>
              <w:tab/>
              <w:tab/>
              <w:tab/>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System:</w:t>
            </w:r>
          </w:p>
        </w:tc>
        <w:tc>
          <w:tcPr>
            <w:tcW w:w="5198"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Arial Narrow" w:hAnsi="Arial Narrow" w:cs="Arial Narrow"/>
                <w:sz w:val="20"/>
              </w:rPr>
            </w:pPr>
            <w:r>
              <w:rPr>
                <w:rFonts w:cs="Arial Narrow" w:ascii="Arial Narrow" w:hAnsi="Arial Narrow"/>
                <w:sz w:val="20"/>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b/>
          <w:sz w:val="20"/>
        </w:rPr>
        <w:t>TECHNICAL MATTERS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On Site Contact Information:</w:t>
      </w:r>
    </w:p>
    <w:p>
      <w:pPr>
        <w:pStyle w:val="Normal"/>
        <w:jc w:val="both"/>
        <w:rPr>
          <w:rFonts w:ascii="Arial Narrow" w:hAnsi="Arial Narrow" w:cs="Arial Narrow"/>
          <w:sz w:val="20"/>
        </w:rPr>
      </w:pPr>
      <w:r>
        <w:rPr>
          <w:rFonts w:cs="Arial Narrow" w:ascii="Arial Narrow" w:hAnsi="Arial Narrow"/>
          <w:sz w:val="20"/>
        </w:rPr>
        <w:t>Full Name:</w:t>
      </w:r>
    </w:p>
    <w:p>
      <w:pPr>
        <w:pStyle w:val="Normal"/>
        <w:jc w:val="both"/>
        <w:rPr>
          <w:rFonts w:ascii="Arial Narrow" w:hAnsi="Arial Narrow" w:cs="Arial Narrow"/>
          <w:sz w:val="20"/>
        </w:rPr>
      </w:pPr>
      <w:r>
        <w:rPr>
          <w:rFonts w:cs="Arial Narrow" w:ascii="Arial Narrow" w:hAnsi="Arial Narrow"/>
          <w:sz w:val="20"/>
        </w:rPr>
        <w:t>Phone:</w:t>
      </w:r>
    </w:p>
    <w:p>
      <w:pPr>
        <w:pStyle w:val="Normal"/>
        <w:jc w:val="both"/>
        <w:rPr>
          <w:rFonts w:ascii="Arial Narrow" w:hAnsi="Arial Narrow" w:cs="Arial Narrow"/>
          <w:sz w:val="20"/>
        </w:rPr>
      </w:pPr>
      <w:r>
        <w:rPr>
          <w:rFonts w:cs="Arial Narrow" w:ascii="Arial Narrow" w:hAnsi="Arial Narrow"/>
          <w:sz w:val="20"/>
        </w:rPr>
        <w:t>Fax:</w:t>
      </w:r>
    </w:p>
    <w:p>
      <w:pPr>
        <w:pStyle w:val="Normal"/>
        <w:jc w:val="both"/>
        <w:rPr>
          <w:rFonts w:ascii="Arial Narrow" w:hAnsi="Arial Narrow" w:cs="Arial Narrow"/>
          <w:sz w:val="20"/>
        </w:rPr>
      </w:pPr>
      <w:r>
        <w:rPr>
          <w:rFonts w:cs="Arial Narrow" w:ascii="Arial Narrow" w:hAnsi="Arial Narrow"/>
          <w:sz w:val="20"/>
        </w:rPr>
        <w:t>Pager:</w:t>
      </w:r>
    </w:p>
    <w:p>
      <w:pPr>
        <w:pStyle w:val="Normal"/>
        <w:jc w:val="both"/>
        <w:rPr>
          <w:rFonts w:ascii="Arial Narrow" w:hAnsi="Arial Narrow" w:cs="Arial Narrow"/>
          <w:sz w:val="20"/>
        </w:rPr>
      </w:pPr>
      <w:r>
        <w:rPr>
          <w:rFonts w:cs="Arial Narrow" w:ascii="Arial Narrow" w:hAnsi="Arial Narrow"/>
          <w:sz w:val="20"/>
        </w:rPr>
        <w:t>Cellular (Optional):</w:t>
      </w:r>
    </w:p>
    <w:p>
      <w:pPr>
        <w:pStyle w:val="Normal"/>
        <w:jc w:val="both"/>
        <w:rPr>
          <w:rFonts w:ascii="Arial Narrow" w:hAnsi="Arial Narrow" w:cs="Arial Narrow"/>
          <w:sz w:val="20"/>
        </w:rPr>
      </w:pPr>
      <w:r>
        <w:rPr>
          <w:rFonts w:cs="Arial Narrow" w:ascii="Arial Narrow" w:hAnsi="Arial Narrow"/>
          <w:sz w:val="20"/>
        </w:rPr>
        <w:t>E-mail Address: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Technical Contact Information:</w:t>
      </w:r>
    </w:p>
    <w:p>
      <w:pPr>
        <w:pStyle w:val="Normal"/>
        <w:jc w:val="both"/>
        <w:rPr>
          <w:rFonts w:ascii="Arial Narrow" w:hAnsi="Arial Narrow" w:cs="Arial Narrow"/>
          <w:sz w:val="20"/>
        </w:rPr>
      </w:pPr>
      <w:r>
        <w:rPr>
          <w:rFonts w:cs="Arial Narrow" w:ascii="Arial Narrow" w:hAnsi="Arial Narrow"/>
          <w:sz w:val="20"/>
        </w:rPr>
        <w:t>Full Name:</w:t>
      </w:r>
    </w:p>
    <w:p>
      <w:pPr>
        <w:pStyle w:val="Normal"/>
        <w:jc w:val="both"/>
        <w:rPr>
          <w:rFonts w:ascii="Arial Narrow" w:hAnsi="Arial Narrow" w:cs="Arial Narrow"/>
          <w:sz w:val="20"/>
        </w:rPr>
      </w:pPr>
      <w:r>
        <w:rPr>
          <w:rFonts w:cs="Arial Narrow" w:ascii="Arial Narrow" w:hAnsi="Arial Narrow"/>
          <w:sz w:val="20"/>
        </w:rPr>
        <w:t>Phone:</w:t>
      </w:r>
    </w:p>
    <w:p>
      <w:pPr>
        <w:pStyle w:val="Normal"/>
        <w:jc w:val="both"/>
        <w:rPr>
          <w:rFonts w:ascii="Arial Narrow" w:hAnsi="Arial Narrow" w:cs="Arial Narrow"/>
          <w:sz w:val="20"/>
        </w:rPr>
      </w:pPr>
      <w:r>
        <w:rPr>
          <w:rFonts w:cs="Arial Narrow" w:ascii="Arial Narrow" w:hAnsi="Arial Narrow"/>
          <w:sz w:val="20"/>
        </w:rPr>
        <w:t>Fax:</w:t>
      </w:r>
    </w:p>
    <w:p>
      <w:pPr>
        <w:pStyle w:val="Normal"/>
        <w:jc w:val="both"/>
        <w:rPr>
          <w:rFonts w:ascii="Arial Narrow" w:hAnsi="Arial Narrow" w:cs="Arial Narrow"/>
          <w:sz w:val="20"/>
        </w:rPr>
      </w:pPr>
      <w:r>
        <w:rPr>
          <w:rFonts w:cs="Arial Narrow" w:ascii="Arial Narrow" w:hAnsi="Arial Narrow"/>
          <w:sz w:val="20"/>
        </w:rPr>
        <w:t>Pager:</w:t>
      </w:r>
    </w:p>
    <w:p>
      <w:pPr>
        <w:pStyle w:val="Normal"/>
        <w:jc w:val="both"/>
        <w:rPr>
          <w:rFonts w:ascii="Arial Narrow" w:hAnsi="Arial Narrow" w:cs="Arial Narrow"/>
          <w:sz w:val="20"/>
        </w:rPr>
      </w:pPr>
      <w:r>
        <w:rPr>
          <w:rFonts w:cs="Arial Narrow" w:ascii="Arial Narrow" w:hAnsi="Arial Narrow"/>
          <w:sz w:val="20"/>
        </w:rPr>
        <w:t>Cellular (Optional):</w:t>
      </w:r>
    </w:p>
    <w:p>
      <w:pPr>
        <w:pStyle w:val="Normal"/>
        <w:jc w:val="both"/>
        <w:rPr>
          <w:rFonts w:ascii="Arial Narrow" w:hAnsi="Arial Narrow" w:cs="Arial Narrow"/>
          <w:sz w:val="20"/>
        </w:rPr>
      </w:pPr>
      <w:r>
        <w:rPr>
          <w:rFonts w:cs="Arial Narrow" w:ascii="Arial Narrow" w:hAnsi="Arial Narrow"/>
          <w:sz w:val="20"/>
        </w:rPr>
        <w:t>E-mail Address:</w:t>
      </w:r>
    </w:p>
    <w:p>
      <w:pPr>
        <w:pStyle w:val="Normal"/>
        <w:jc w:val="both"/>
        <w:rPr>
          <w:rFonts w:ascii="Arial Narrow" w:hAnsi="Arial Narrow" w:cs="Arial Narrow"/>
          <w:b/>
          <w:sz w:val="20"/>
        </w:rPr>
      </w:pPr>
      <w:r>
        <w:rPr>
          <w:rFonts w:cs="Arial Narrow" w:ascii="Arial Narrow" w:hAnsi="Arial Narrow"/>
          <w:b/>
          <w:sz w:val="20"/>
        </w:rPr>
        <w:t>24 Hour Contact:</w:t>
      </w:r>
    </w:p>
    <w:p>
      <w:pPr>
        <w:pStyle w:val="Normal"/>
        <w:jc w:val="both"/>
        <w:rPr>
          <w:rFonts w:ascii="Arial Narrow" w:hAnsi="Arial Narrow" w:cs="Arial Narrow"/>
          <w:b/>
          <w:sz w:val="20"/>
        </w:rPr>
      </w:pPr>
      <w:r>
        <w:rPr>
          <w:rFonts w:cs="Arial Narrow" w:ascii="Arial Narrow" w:hAnsi="Arial Narrow"/>
          <w:b/>
          <w:sz w:val="20"/>
        </w:rPr>
      </w:r>
    </w:p>
    <w:p>
      <w:pPr>
        <w:pStyle w:val="BodyText"/>
        <w:rPr>
          <w:rFonts w:ascii="Arial Narrow" w:hAnsi="Arial Narrow" w:cs="Arial Narrow"/>
          <w:sz w:val="20"/>
        </w:rPr>
      </w:pPr>
      <w:r>
        <w:rPr>
          <w:rFonts w:cs="Arial Narrow" w:ascii="Arial Narrow" w:hAnsi="Arial Narrow"/>
          <w:sz w:val="20"/>
        </w:rPr>
        <w:t>or to such other address as Counterparty shall from time to time designate by notice properly given under this Agreement.</w:t>
      </w:r>
    </w:p>
    <w:p>
      <w:p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r>
    </w:p>
    <w:p>
      <w:pPr>
        <w:sectPr>
          <w:footerReference w:type="default" r:id="rId10"/>
          <w:footerReference w:type="first" r:id="rId11"/>
          <w:type w:val="nextPage"/>
          <w:pgSz w:w="12240" w:h="15840"/>
          <w:pgMar w:left="1800" w:right="1800" w:gutter="0" w:header="0" w:top="1440" w:footer="720" w:bottom="776"/>
          <w:pgNumType w:start="1" w:fmt="decimal"/>
          <w:formProt w:val="false"/>
          <w:textDirection w:val="lrTb"/>
          <w:docGrid w:type="default" w:linePitch="360" w:charSpace="0"/>
        </w:sect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EXHIBIT C-1</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and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ENRON CORP. FORM OF GUARANTY AGREEMENT</w:t>
      </w:r>
    </w:p>
    <w:p>
      <w:pPr>
        <w:pStyle w:val="BodyText"/>
        <w:jc w:val="center"/>
        <w:rPr>
          <w:rFonts w:ascii="Arial Narrow" w:hAnsi="Arial Narrow" w:cs="Arial Narrow"/>
          <w:b/>
          <w:sz w:val="20"/>
        </w:rPr>
      </w:pPr>
      <w:r>
        <w:rPr>
          <w:rFonts w:cs="Arial Narrow" w:ascii="Arial Narrow" w:hAnsi="Arial Narrow"/>
          <w:b/>
          <w:sz w:val="20"/>
        </w:rPr>
        <w:t>ENRON CORP.</w:t>
      </w:r>
    </w:p>
    <w:p>
      <w:pPr>
        <w:pStyle w:val="BodyText"/>
        <w:jc w:val="center"/>
        <w:rPr>
          <w:rFonts w:ascii="Arial Narrow" w:hAnsi="Arial Narrow" w:cs="Arial Narrow"/>
          <w:b/>
          <w:sz w:val="20"/>
        </w:rPr>
      </w:pPr>
      <w:r>
        <w:rPr>
          <w:rFonts w:cs="Arial Narrow" w:ascii="Arial Narrow" w:hAnsi="Arial Narrow"/>
          <w:b/>
          <w:sz w:val="20"/>
        </w:rPr>
        <w:t>Guaranty Agreement</w:t>
      </w:r>
    </w:p>
    <w:p>
      <w:pPr>
        <w:pStyle w:val="Normal"/>
        <w:suppressAutoHyphens w:val="true"/>
        <w:rPr>
          <w:rFonts w:ascii="Arial Narrow" w:hAnsi="Arial Narrow" w:cs="Arial Narrow"/>
          <w:b/>
          <w:spacing w:val="-2"/>
          <w:sz w:val="20"/>
        </w:rPr>
      </w:pPr>
      <w:r>
        <w:rPr>
          <w:rFonts w:cs="Arial Narrow" w:ascii="Arial Narrow" w:hAnsi="Arial Narrow"/>
          <w:b/>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Enron Corp., an Oregon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 xml:space="preserve">WHEREAS, </w:t>
      </w:r>
      <w:r>
        <w:rPr>
          <w:rFonts w:cs="Arial Narrow" w:ascii="Arial Narrow" w:hAnsi="Arial Narrow"/>
          <w:sz w:val="20"/>
        </w:rPr>
        <w:t>Enron Broadband Services, L.P. (the “Company”) will enter into a Master Bandwidth Purchase and Sale Agreement (the “Agreement”) effective as of the date of this Guaranty with _____________________________ (“Counterparty”) pursuant to which Company and Counterparty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Counterparty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 U.S. Dollars ($___________).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Oregon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ListContinue3"/>
        <w:ind w:start="720" w:end="0"/>
        <w:rPr>
          <w:rFonts w:ascii="Arial Narrow" w:hAnsi="Arial Narrow" w:cs="Arial Narrow"/>
          <w:sz w:val="20"/>
        </w:rPr>
      </w:pPr>
      <w:r>
        <w:rPr>
          <w:rFonts w:cs="Arial Narrow" w:ascii="Arial Narrow" w:hAnsi="Arial Narrow"/>
          <w:sz w:val="20"/>
        </w:rPr>
        <w:t>To Counterparty:</w:t>
      </w:r>
    </w:p>
    <w:p>
      <w:pPr>
        <w:pStyle w:val="ListContinue3"/>
        <w:ind w:firstLine="1080" w:start="720" w:end="0"/>
        <w:rPr>
          <w:rFonts w:ascii="Arial Narrow" w:hAnsi="Arial Narrow" w:cs="Arial Narrow"/>
          <w:sz w:val="20"/>
          <w:u w:val="single"/>
        </w:rPr>
      </w:pPr>
      <w:r>
        <w:rPr>
          <w:rFonts w:cs="Arial Narrow" w:ascii="Arial Narrow" w:hAnsi="Arial Narrow"/>
          <w:sz w:val="20"/>
          <w:u w:val="single"/>
        </w:rPr>
        <w:tab/>
        <w:tab/>
        <w:tab/>
        <w:tab/>
        <w:tab/>
      </w:r>
    </w:p>
    <w:p>
      <w:pPr>
        <w:pStyle w:val="Normal"/>
        <w:keepNext w:val="true"/>
        <w:suppressAutoHyphens w:val="true"/>
        <w:ind w:firstLine="1080" w:start="72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hanging="0" w:start="1800" w:end="0"/>
        <w:rPr/>
      </w:pPr>
      <w:r>
        <w:rPr>
          <w:rFonts w:cs="Arial Narrow" w:ascii="Arial Narrow" w:hAnsi="Arial Narrow"/>
          <w:sz w:val="20"/>
        </w:rPr>
        <w:t xml:space="preserve">Attn.:  </w:t>
      </w:r>
      <w:r>
        <w:rPr>
          <w:rFonts w:cs="Arial Narrow" w:ascii="Arial Narrow" w:hAnsi="Arial Narrow"/>
          <w:sz w:val="20"/>
          <w:u w:val="single"/>
        </w:rPr>
        <w:tab/>
        <w:tab/>
        <w:tab/>
        <w:tab/>
      </w:r>
    </w:p>
    <w:p>
      <w:pPr>
        <w:pStyle w:val="BodyTextIndent"/>
        <w:ind w:firstLine="540" w:end="0"/>
        <w:rPr/>
      </w:pPr>
      <w:r>
        <w:rPr>
          <w:rFonts w:cs="Arial Narrow" w:ascii="Arial Narrow" w:hAnsi="Arial Narrow"/>
          <w:sz w:val="20"/>
        </w:rPr>
        <w:t xml:space="preserve">Fax No.:  </w:t>
      </w:r>
      <w:r>
        <w:rPr>
          <w:rFonts w:cs="Arial Narrow" w:ascii="Arial Narrow" w:hAnsi="Arial Narrow"/>
          <w:sz w:val="20"/>
          <w:u w:val="single"/>
        </w:rPr>
        <w:tab/>
        <w:tab/>
        <w:tab/>
        <w:tab/>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To Guarantor:</w:t>
        <w:tab/>
        <w:t>Enron Corp.</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1400 Smith Street</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Houston, Texas  77002</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Attn.:  Vice President, Finance and Treasurer</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Fax No.:  (713) 646-3422</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BodyTextIndent"/>
        <w:rPr>
          <w:rFonts w:ascii="Arial Narrow" w:hAnsi="Arial Narrow" w:cs="Arial Narrow"/>
          <w:b/>
          <w:sz w:val="20"/>
        </w:rPr>
      </w:pPr>
      <w:r>
        <w:rPr>
          <w:rFonts w:cs="Arial Narrow" w:ascii="Arial Narrow" w:hAnsi="Arial Narrow"/>
          <w:b/>
          <w:sz w:val="20"/>
        </w:rPr>
        <w:t>ENRON CORP.</w:t>
      </w:r>
    </w:p>
    <w:p>
      <w:pPr>
        <w:pStyle w:val="BodyTextIndent"/>
        <w:rPr>
          <w:rFonts w:ascii="Arial Narrow" w:hAnsi="Arial Narrow" w:cs="Arial Narrow"/>
          <w:b/>
          <w:sz w:val="20"/>
        </w:rPr>
      </w:pPr>
      <w:r>
        <w:rPr>
          <w:rFonts w:cs="Arial Narrow" w:ascii="Arial Narrow" w:hAnsi="Arial Narrow"/>
          <w:b/>
          <w:sz w:val="20"/>
        </w:rPr>
      </w:r>
    </w:p>
    <w:p>
      <w:pPr>
        <w:pStyle w:val="BodyTextIndent"/>
        <w:rPr>
          <w:rFonts w:ascii="Arial Narrow" w:hAnsi="Arial Narrow" w:cs="Arial Narrow"/>
          <w:sz w:val="20"/>
        </w:rPr>
      </w:pPr>
      <w:r>
        <w:rPr>
          <w:rFonts w:cs="Arial Narrow" w:ascii="Arial Narrow" w:hAnsi="Arial Narrow"/>
          <w:sz w:val="20"/>
        </w:rPr>
      </w:r>
    </w:p>
    <w:p>
      <w:pPr>
        <w:pStyle w:val="BodyTextIndent"/>
        <w:rPr/>
      </w:pPr>
      <w:r>
        <w:rPr>
          <w:rFonts w:cs="Arial Narrow" w:ascii="Arial Narrow" w:hAnsi="Arial Narrow"/>
          <w:sz w:val="20"/>
        </w:rPr>
        <w:t>By:</w:t>
      </w:r>
      <w:r>
        <w:rPr>
          <w:rFonts w:cs="Arial Narrow" w:ascii="Arial Narrow" w:hAnsi="Arial Narrow"/>
          <w:sz w:val="20"/>
          <w:u w:val="single"/>
        </w:rPr>
        <w:tab/>
        <w:tab/>
        <w:tab/>
        <w:tab/>
      </w:r>
    </w:p>
    <w:p>
      <w:pPr>
        <w:pStyle w:val="BodyTextIndent"/>
        <w:rPr/>
      </w:pPr>
      <w:r>
        <w:rPr>
          <w:rFonts w:cs="Arial Narrow" w:ascii="Arial Narrow" w:hAnsi="Arial Narrow"/>
          <w:sz w:val="20"/>
        </w:rPr>
        <w:t>Name:</w:t>
      </w:r>
      <w:r>
        <w:rPr>
          <w:rFonts w:cs="Arial Narrow" w:ascii="Arial Narrow" w:hAnsi="Arial Narrow"/>
          <w:sz w:val="20"/>
          <w:u w:val="single"/>
        </w:rPr>
        <w:tab/>
        <w:tab/>
        <w:tab/>
        <w:tab/>
      </w:r>
    </w:p>
    <w:p>
      <w:pPr>
        <w:pStyle w:val="BodyTextIndent"/>
        <w:rPr/>
      </w:pPr>
      <w:r>
        <w:rPr>
          <w:rFonts w:cs="Arial Narrow" w:ascii="Arial Narrow" w:hAnsi="Arial Narrow"/>
          <w:sz w:val="20"/>
        </w:rPr>
        <w:t>Title:</w:t>
      </w:r>
      <w:r>
        <w:rPr>
          <w:rFonts w:cs="Arial Narrow" w:ascii="Arial Narrow" w:hAnsi="Arial Narrow"/>
          <w:sz w:val="20"/>
          <w:u w:val="single"/>
        </w:rPr>
        <w:tab/>
        <w:tab/>
        <w:tab/>
        <w:tab/>
      </w:r>
    </w:p>
    <w:p>
      <w:pPr>
        <w:sectPr>
          <w:footerReference w:type="default" r:id="rId12"/>
          <w:footerReference w:type="first" r:id="rId13"/>
          <w:type w:val="nextPage"/>
          <w:pgSz w:w="12240" w:h="15840"/>
          <w:pgMar w:left="1800" w:right="1800" w:gutter="0" w:header="0" w:top="1440" w:footer="720" w:bottom="776"/>
          <w:pgNumType w:start="1" w:fmt="decimal"/>
          <w:formProt w:val="false"/>
          <w:textDirection w:val="lrTb"/>
          <w:docGrid w:type="default" w:linePitch="360" w:charSpace="0"/>
        </w:sectPr>
        <w:pStyle w:val="Normal"/>
        <w:rPr>
          <w:rFonts w:ascii="Arial Narrow" w:hAnsi="Arial Narrow" w:cs="Arial Narrow"/>
          <w:sz w:val="20"/>
          <w:u w:val="single"/>
        </w:rPr>
      </w:pPr>
      <w:r>
        <w:rPr>
          <w:rFonts w:cs="Arial Narrow" w:ascii="Arial Narrow" w:hAnsi="Arial Narrow"/>
          <w:sz w:val="20"/>
          <w:u w:val="single"/>
        </w:rPr>
      </w:r>
    </w:p>
    <w:p>
      <w:pPr>
        <w:pStyle w:val="BodyText"/>
        <w:jc w:val="center"/>
        <w:rPr>
          <w:rFonts w:ascii="Arial Narrow" w:hAnsi="Arial Narrow" w:cs="Arial Narrow"/>
          <w:b/>
          <w:sz w:val="20"/>
        </w:rPr>
      </w:pPr>
      <w:r>
        <w:rPr>
          <w:rFonts w:cs="Arial Narrow" w:ascii="Arial Narrow" w:hAnsi="Arial Narrow"/>
          <w:b/>
          <w:sz w:val="20"/>
        </w:rPr>
        <w:t>EXHIBIT C-2</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and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COUNTERPARTY GUARANTOR FORM OF GUARANTY AGREEMENT</w:t>
      </w:r>
    </w:p>
    <w:p>
      <w:pPr>
        <w:pStyle w:val="Normal"/>
        <w:suppressAutoHyphens w:val="true"/>
        <w:jc w:val="center"/>
        <w:rPr>
          <w:rFonts w:ascii="Arial Narrow" w:hAnsi="Arial Narrow" w:cs="Arial Narrow"/>
          <w:b/>
          <w:spacing w:val="-2"/>
          <w:sz w:val="20"/>
        </w:rPr>
      </w:pPr>
      <w:r>
        <w:rPr>
          <w:rFonts w:cs="Arial Narrow" w:ascii="Arial Narrow" w:hAnsi="Arial Narrow"/>
          <w:b/>
          <w:spacing w:val="-2"/>
          <w:sz w:val="20"/>
        </w:rPr>
      </w:r>
    </w:p>
    <w:p>
      <w:pPr>
        <w:pStyle w:val="BodyText"/>
        <w:rPr>
          <w:rFonts w:ascii="Arial Narrow" w:hAnsi="Arial Narrow" w:cs="Arial Narrow"/>
          <w:b/>
          <w:sz w:val="20"/>
        </w:rPr>
      </w:pPr>
      <w:r>
        <w:rPr>
          <w:rFonts w:cs="Arial Narrow" w:ascii="Arial Narrow" w:hAnsi="Arial Narrow"/>
          <w:b/>
          <w:sz w:val="20"/>
        </w:rPr>
        <w:t>Guaranty Agreement</w:t>
      </w:r>
    </w:p>
    <w:p>
      <w:pPr>
        <w:pStyle w:val="Normal"/>
        <w:suppressAutoHyphens w:val="true"/>
        <w:rPr>
          <w:rFonts w:ascii="Arial Narrow" w:hAnsi="Arial Narrow" w:cs="Arial Narrow"/>
          <w:b/>
          <w:spacing w:val="-2"/>
          <w:sz w:val="20"/>
        </w:rPr>
      </w:pPr>
      <w:r>
        <w:rPr>
          <w:rFonts w:cs="Arial Narrow" w:ascii="Arial Narrow" w:hAnsi="Arial Narrow"/>
          <w:b/>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__________________________, a ___________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WHEREAS, _____________________________</w:t>
      </w:r>
      <w:r>
        <w:rPr>
          <w:rFonts w:cs="Arial Narrow" w:ascii="Arial Narrow" w:hAnsi="Arial Narrow"/>
          <w:sz w:val="20"/>
        </w:rPr>
        <w:t xml:space="preserve"> (the “Company”) will enter into a Master Bandwidth Purchase and Sale Agreement (the “Agreement”) effective as of the date of this Guaranty with Enron Broadband Services, L.P. (“Counterparty”) pursuant to which Company and Counterparty may enter into Transactions related to the purchase and sale of Broadband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Counterparty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__________ U.S. Dollars ($__________).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___________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To Counterparty:</w:t>
        <w:tab/>
        <w:t>Enron Broadband Services, L.P.</w:t>
      </w:r>
    </w:p>
    <w:p>
      <w:pPr>
        <w:pStyle w:val="Normal"/>
        <w:keepNext w:val="true"/>
        <w:keepLines/>
        <w:tabs>
          <w:tab w:val="clear" w:pos="720"/>
          <w:tab w:val="left" w:pos="1440" w:leader="none"/>
          <w:tab w:val="left" w:pos="43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1400 Smith Street</w:t>
      </w:r>
    </w:p>
    <w:p>
      <w:pPr>
        <w:pStyle w:val="Normal"/>
        <w:keepNext w:val="true"/>
        <w:keepLines/>
        <w:tabs>
          <w:tab w:val="clear" w:pos="720"/>
          <w:tab w:val="left" w:pos="1440" w:leader="none"/>
          <w:tab w:val="left" w:pos="43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Houston, Texas  77002</w:t>
      </w:r>
    </w:p>
    <w:p>
      <w:pPr>
        <w:pStyle w:val="Normal"/>
        <w:keepNext w:val="true"/>
        <w:keepLines/>
        <w:tabs>
          <w:tab w:val="clear" w:pos="720"/>
          <w:tab w:val="left" w:pos="1440" w:leader="none"/>
          <w:tab w:val="left" w:pos="43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Attn.:  Vice President, Finance and Treasurer</w:t>
      </w:r>
    </w:p>
    <w:p>
      <w:pPr>
        <w:pStyle w:val="Normal"/>
        <w:tabs>
          <w:tab w:val="clear" w:pos="720"/>
          <w:tab w:val="left" w:pos="1440" w:leader="none"/>
          <w:tab w:val="left" w:pos="43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Fax No.:  (713) 646-3422</w:t>
      </w:r>
    </w:p>
    <w:p>
      <w:pPr>
        <w:pStyle w:val="Normal"/>
        <w:tabs>
          <w:tab w:val="clear" w:pos="720"/>
          <w:tab w:val="left" w:pos="1440" w:leader="none"/>
          <w:tab w:val="left" w:pos="4320" w:leader="none"/>
        </w:tabs>
        <w:suppressAutoHyphens w:val="true"/>
        <w:ind w:start="720" w:end="0"/>
        <w:rPr>
          <w:rFonts w:ascii="Arial Narrow" w:hAnsi="Arial Narrow" w:cs="Arial Narrow"/>
          <w:spacing w:val="-2"/>
          <w:sz w:val="20"/>
        </w:rPr>
      </w:pPr>
      <w:r>
        <w:rPr>
          <w:rFonts w:cs="Arial Narrow" w:ascii="Arial Narrow" w:hAnsi="Arial Narrow"/>
          <w:spacing w:val="-2"/>
          <w:sz w:val="20"/>
        </w:rPr>
      </w:r>
    </w:p>
    <w:p>
      <w:pPr>
        <w:pStyle w:val="BodyTextIndent"/>
        <w:rPr>
          <w:rFonts w:ascii="Arial Narrow" w:hAnsi="Arial Narrow" w:cs="Arial Narrow"/>
          <w:sz w:val="20"/>
        </w:rPr>
      </w:pPr>
      <w:r>
        <w:rPr>
          <w:rFonts w:cs="Arial Narrow" w:ascii="Arial Narrow" w:hAnsi="Arial Narrow"/>
          <w:sz w:val="20"/>
        </w:rPr>
        <w:t>To Guarantor:</w:t>
      </w:r>
    </w:p>
    <w:p>
      <w:pPr>
        <w:pStyle w:val="Normal"/>
        <w:suppressAutoHyphens w:val="true"/>
        <w:ind w:firstLine="432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suppressAutoHyphens w:val="true"/>
        <w:ind w:firstLine="432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firstLine="3060" w:end="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firstLine="3060" w:end="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BodyTextIndent"/>
        <w:rPr>
          <w:rFonts w:ascii="Arial Narrow" w:hAnsi="Arial Narrow" w:cs="Arial Narrow"/>
          <w:sz w:val="20"/>
          <w:u w:val="single"/>
        </w:rPr>
      </w:pPr>
      <w:r>
        <w:rPr>
          <w:rFonts w:cs="Arial Narrow" w:ascii="Arial Narrow" w:hAnsi="Arial Narrow"/>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rPr/>
      </w:pPr>
      <w:r>
        <w:rPr>
          <w:rFonts w:cs="Arial Narrow" w:ascii="Arial Narrow" w:hAnsi="Arial Narrow"/>
          <w:spacing w:val="-2"/>
          <w:sz w:val="20"/>
        </w:rPr>
        <w:tab/>
        <w:t>[</w:t>
      </w:r>
      <w:r>
        <w:rPr>
          <w:rFonts w:cs="Arial Narrow" w:ascii="Arial Narrow" w:hAnsi="Arial Narrow"/>
          <w:spacing w:val="-2"/>
          <w:sz w:val="20"/>
          <w:u w:val="single"/>
        </w:rPr>
        <w:tab/>
        <w:tab/>
        <w:tab/>
        <w:tab/>
        <w:tab/>
        <w:tab/>
      </w:r>
      <w:r>
        <w:rPr>
          <w:rFonts w:cs="Arial Narrow" w:ascii="Arial Narrow" w:hAnsi="Arial Narrow"/>
          <w:spacing w:val="-2"/>
          <w:sz w:val="20"/>
        </w:rPr>
        <w:t>]</w:t>
      </w:r>
    </w:p>
    <w:p>
      <w:pPr>
        <w:pStyle w:val="Normal"/>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Normal"/>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BodyTextIndent"/>
        <w:rPr/>
      </w:pPr>
      <w:r>
        <w:rPr>
          <w:rFonts w:cs="Arial Narrow" w:ascii="Arial Narrow" w:hAnsi="Arial Narrow"/>
          <w:sz w:val="20"/>
        </w:rPr>
        <w:t>By:</w:t>
      </w:r>
      <w:r>
        <w:rPr>
          <w:rFonts w:cs="Arial Narrow" w:ascii="Arial Narrow" w:hAnsi="Arial Narrow"/>
          <w:sz w:val="20"/>
          <w:u w:val="single"/>
        </w:rPr>
        <w:tab/>
        <w:tab/>
        <w:tab/>
        <w:tab/>
      </w:r>
    </w:p>
    <w:p>
      <w:pPr>
        <w:pStyle w:val="BodyTextIndent"/>
        <w:rPr/>
      </w:pPr>
      <w:r>
        <w:rPr>
          <w:rFonts w:cs="Arial Narrow" w:ascii="Arial Narrow" w:hAnsi="Arial Narrow"/>
          <w:sz w:val="20"/>
        </w:rPr>
        <w:t>Name:</w:t>
      </w:r>
      <w:r>
        <w:rPr>
          <w:rFonts w:cs="Arial Narrow" w:ascii="Arial Narrow" w:hAnsi="Arial Narrow"/>
          <w:sz w:val="20"/>
          <w:u w:val="single"/>
        </w:rPr>
        <w:tab/>
        <w:tab/>
        <w:tab/>
        <w:tab/>
      </w:r>
    </w:p>
    <w:p>
      <w:pPr>
        <w:pStyle w:val="BodyTextIndent"/>
        <w:rPr/>
      </w:pPr>
      <w:r>
        <w:rPr>
          <w:rFonts w:cs="Arial Narrow" w:ascii="Arial Narrow" w:hAnsi="Arial Narrow"/>
          <w:sz w:val="20"/>
        </w:rPr>
        <w:t>Title:</w:t>
      </w:r>
      <w:r>
        <w:rPr>
          <w:rFonts w:cs="Arial Narrow" w:ascii="Arial Narrow" w:hAnsi="Arial Narrow"/>
          <w:sz w:val="20"/>
          <w:u w:val="single"/>
        </w:rPr>
        <w:tab/>
        <w:tab/>
        <w:tab/>
        <w:tab/>
      </w:r>
      <w:r>
        <w:br w:type="page"/>
      </w:r>
    </w:p>
    <w:p>
      <w:pPr>
        <w:pStyle w:val="Normal"/>
        <w:rPr>
          <w:rFonts w:ascii="Arial Narrow" w:hAnsi="Arial Narrow" w:cs="Arial Narrow"/>
          <w:sz w:val="20"/>
          <w:lang w:eastAsia="en-US"/>
        </w:rPr>
      </w:pPr>
      <w:r>
        <w:rPr>
          <w:rFonts w:cs="Arial Narrow" w:ascii="Arial Narrow" w:hAnsi="Arial Narrow"/>
          <w:sz w:val="20"/>
          <w:lang w:eastAsia="en-US"/>
        </w:rPr>
        <w:fldChar w:fldCharType="begin"/>
      </w:r>
      <w:r>
        <w:rPr>
          <w:sz w:val="20"/>
          <w:rFonts w:cs="Arial Narrow" w:ascii="Arial Narrow" w:hAnsi="Arial Narrow"/>
          <w:lang w:eastAsia="en-US"/>
        </w:rPr>
        <w:instrText xml:space="preserve"> FILENAME \p </w:instrText>
      </w:r>
      <w:r>
        <w:rPr>
          <w:sz w:val="20"/>
          <w:rFonts w:cs="Arial Narrow" w:ascii="Arial Narrow" w:hAnsi="Arial Narrow"/>
          <w:lang w:eastAsia="en-US"/>
        </w:rPr>
        <w:fldChar w:fldCharType="separate"/>
      </w:r>
      <w:r>
        <w:rPr>
          <w:sz w:val="20"/>
          <w:rFonts w:cs="Arial Narrow" w:ascii="Arial Narrow" w:hAnsi="Arial Narrow"/>
          <w:lang w:eastAsia="en-US"/>
        </w:rPr>
        <w:t>/mnt/main-storage/datasets/enron-docs/doc/MasterBandwidth3_21_00cleanPM.doc</w:t>
      </w:r>
      <w:r>
        <w:rPr>
          <w:sz w:val="20"/>
          <w:rFonts w:cs="Arial Narrow" w:ascii="Arial Narrow" w:hAnsi="Arial Narrow"/>
          <w:lang w:eastAsia="en-US"/>
        </w:rPr>
        <w:fldChar w:fldCharType="end"/>
      </w:r>
    </w:p>
    <w:sectPr>
      <w:footerReference w:type="default" r:id="rId14"/>
      <w:footerReference w:type="first" r:id="rId15"/>
      <w:type w:val="nextPage"/>
      <w:pgSz w:w="12240" w:h="15840"/>
      <w:pgMar w:left="1800" w:right="180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3">
              <wp:simplePos x="0" y="0"/>
              <wp:positionH relativeFrom="page">
                <wp:posOffset>3841115</wp:posOffset>
              </wp:positionH>
              <wp:positionV relativeFrom="paragraph">
                <wp:posOffset>-4445</wp:posOffset>
              </wp:positionV>
              <wp:extent cx="14287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35pt;mso-position-vertical-relative:text;margin-left:302.45pt;mso-position-horizontal-relative:page">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23</w:t>
                    </w:r>
                    <w:r>
                      <w:rPr>
                        <w:rStyle w:val="PageNumber"/>
                        <w:sz w:val="20"/>
                        <w:rFonts w:cs="Arial Narrow" w:ascii="Arial Narrow" w:hAnsi="Arial Narrow"/>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7175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71755" cy="146685"/>
              <wp:effectExtent l="0" t="0" r="0" b="0"/>
              <wp:wrapSquare wrapText="bothSides"/>
              <wp:docPr id="8" name="Frame7"/>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2">
              <wp:simplePos x="0" y="0"/>
              <wp:positionH relativeFrom="page">
                <wp:posOffset>3841115</wp:posOffset>
              </wp:positionH>
              <wp:positionV relativeFrom="paragraph">
                <wp:posOffset>-4445</wp:posOffset>
              </wp:positionV>
              <wp:extent cx="14287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35pt;mso-position-vertical-relative:text;margin-left:302.45pt;mso-position-horizontal-relative:page">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3">
              <wp:simplePos x="0" y="0"/>
              <wp:positionH relativeFrom="page">
                <wp:posOffset>3841115</wp:posOffset>
              </wp:positionH>
              <wp:positionV relativeFrom="paragraph">
                <wp:posOffset>-4445</wp:posOffset>
              </wp:positionV>
              <wp:extent cx="14287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35pt;mso-position-vertical-relative:text;margin-left:302.45pt;mso-position-horizontal-relative:page">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7175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7</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7</w:t>
                    </w:r>
                    <w:r>
                      <w:rPr>
                        <w:rStyle w:val="PageNumber"/>
                        <w:sz w:val="20"/>
                        <w:rFonts w:cs="Arial Narrow" w:ascii="Arial Narrow" w:hAnsi="Arial Narrow"/>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71755" cy="146685"/>
              <wp:effectExtent l="0" t="0" r="0" b="0"/>
              <wp:wrapSquare wrapText="bothSides"/>
              <wp:docPr id="6" name="Frame5"/>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b/>
      <w:u w:val="single"/>
    </w:rPr>
  </w:style>
  <w:style w:type="character" w:styleId="WW8Num19z0">
    <w:name w:val="WW8Num19z0"/>
    <w:qFormat/>
    <w:rPr>
      <w:rFonts w:ascii="Wingdings" w:hAnsi="Wingdings" w:cs="Wingdings"/>
    </w:rPr>
  </w:style>
  <w:style w:type="character" w:styleId="WW8Num20z0">
    <w:name w:val="WW8Num20z0"/>
    <w:qFormat/>
    <w:rPr>
      <w:b/>
      <w:u w:val="single"/>
    </w:rPr>
  </w:style>
  <w:style w:type="character" w:styleId="WW8Num21z0">
    <w:name w:val="WW8Num21z0"/>
    <w:qFormat/>
    <w:rPr>
      <w:sz w:val="18"/>
    </w:rPr>
  </w:style>
  <w:style w:type="character" w:styleId="WW8Num22z0">
    <w:name w:val="WW8Num22z0"/>
    <w:qFormat/>
    <w:rPr>
      <w:rFonts w:ascii="Wingdings" w:hAnsi="Wingdings" w:cs="Wingdings"/>
    </w:rPr>
  </w:style>
  <w:style w:type="character" w:styleId="WW8Num23z0">
    <w:name w:val="WW8Num23z0"/>
    <w:qFormat/>
    <w:rPr>
      <w:b/>
      <w:u w:val="single"/>
    </w:rPr>
  </w:style>
  <w:style w:type="character" w:styleId="WW8Num24z0">
    <w:name w:val="WW8Num24z0"/>
    <w:qFormat/>
    <w:rPr/>
  </w:style>
  <w:style w:type="character" w:styleId="WW8Num24z1">
    <w:name w:val="WW8Num24z1"/>
    <w:qFormat/>
    <w:rPr>
      <w:b/>
    </w:rPr>
  </w:style>
  <w:style w:type="character" w:styleId="WW8Num25z0">
    <w:name w:val="WW8Num25z0"/>
    <w:qFormat/>
    <w:rPr>
      <w:rFonts w:ascii="Symbol" w:hAnsi="Symbol" w:cs="Symbol"/>
    </w:rPr>
  </w:style>
  <w:style w:type="character" w:styleId="WW8Num26z0">
    <w:name w:val="WW8Num26z0"/>
    <w:qFormat/>
    <w:rPr>
      <w:b/>
      <w:u w:val="single"/>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b/>
      <w:u w:val="single"/>
    </w:rPr>
  </w:style>
  <w:style w:type="character" w:styleId="WW8Num31z0">
    <w:name w:val="WW8Num31z0"/>
    <w:qFormat/>
    <w:rPr>
      <w:b/>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3"/>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image" Target="media/image1.png"/><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2000-03-21T19:55:00Z</dcterms:created>
  <dc:creator>vv24f</dc:creator>
  <dc:description/>
  <dc:language>en-CA</dc:language>
  <cp:lastModifiedBy>scott_pleus</cp:lastModifiedBy>
  <cp:lastPrinted>2000-03-14T15:14:00Z</cp:lastPrinted>
  <dcterms:modified xsi:type="dcterms:W3CDTF">2000-03-21T22:05:00Z</dcterms:modified>
  <cp:revision>3</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