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Style w:val="arialblackbold121"/>
              </w:rPr>
              <w:t>Mass. To Join N.Y., Calif In Market-based Elec Rates</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By James Covert</w:t>
            </w:r>
            <w:r>
              <w:rPr>
                <w:rFonts w:cs="Arial" w:ascii="Arial" w:hAnsi="Arial"/>
                <w:sz w:val="16"/>
                <w:szCs w:val="16"/>
              </w:rPr>
              <w:t xml:space="preserve"> </w:t>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eastAsia="Arial Unicode MS" w:cs="Arial"/>
                <w:sz w:val="16"/>
                <w:szCs w:val="16"/>
              </w:rPr>
            </w:pPr>
            <w:r>
              <w:rPr>
                <w:rStyle w:val="arialblack121"/>
              </w:rPr>
              <w:t>08/25/2000</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Dow Jones Energy Service</w:t>
            </w:r>
            <w:r>
              <w:rPr>
                <w:rFonts w:cs="Arial" w:ascii="Arial" w:hAnsi="Arial"/>
                <w:sz w:val="16"/>
                <w:szCs w:val="16"/>
              </w:rPr>
              <w:t xml:space="preserve"> </w:t>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Style w:val="arialblack121"/>
              </w:rPr>
              <w:t>(Copyright (c) 2000, Dow Jones &amp; Company, Inc.)</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cs="Arial"/>
                <w:sz w:val="16"/>
                <w:szCs w:val="16"/>
              </w:rPr>
            </w:pPr>
            <w:r>
              <w:rPr>
                <w:rStyle w:val="arialblack121"/>
              </w:rPr>
              <w:t xml:space="preserve">Of Dow Jones Newswires </w:t>
            </w:r>
          </w:p>
          <w:p>
            <w:pPr>
              <w:pStyle w:val="NormalWeb"/>
              <w:spacing w:before="100" w:after="100"/>
              <w:rPr/>
            </w:pPr>
            <w:r>
              <w:rPr>
                <w:rFonts w:cs="Arial" w:ascii="Arial" w:hAnsi="Arial"/>
                <w:color w:val="000000"/>
                <w:sz w:val="16"/>
                <w:szCs w:val="16"/>
              </w:rPr>
              <w:br/>
            </w:r>
            <w:r>
              <w:rPr>
                <w:rStyle w:val="arialblack121"/>
              </w:rPr>
              <w:t xml:space="preserve">NEW YORK -(Dow Jones)- This summer, electric customers in </w:t>
            </w:r>
            <w:r>
              <w:rPr>
                <w:rStyle w:val="arialblackbold121"/>
              </w:rPr>
              <w:t>California</w:t>
            </w:r>
            <w:r>
              <w:rPr>
                <w:rStyle w:val="arialblack121"/>
              </w:rPr>
              <w:t xml:space="preserve"> and New York had the dubious distinction to be the first in the country exposed to market-based rates.</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cs="Arial"/>
                <w:sz w:val="16"/>
                <w:szCs w:val="16"/>
              </w:rPr>
            </w:pPr>
            <w:r>
              <w:rPr>
                <w:rFonts w:cs="Arial" w:ascii="Arial" w:hAnsi="Arial"/>
                <w:sz w:val="16"/>
                <w:szCs w:val="16"/>
              </w:rPr>
              <w:t xml:space="preserve">Power shortages that sent wholesale power markets - and customer bills - soaring two to three times higher than previous levels in San Diego and 40% higher in New York City will likely continue next year, industry experts say. </w:t>
            </w:r>
          </w:p>
          <w:p>
            <w:pPr>
              <w:pStyle w:val="NormalWeb"/>
              <w:rPr>
                <w:rFonts w:ascii="Arial" w:hAnsi="Arial" w:cs="Arial"/>
                <w:sz w:val="16"/>
                <w:szCs w:val="16"/>
              </w:rPr>
            </w:pPr>
            <w:r>
              <w:rPr>
                <w:rStyle w:val="arialblack121"/>
              </w:rPr>
              <w:t xml:space="preserve">But even as </w:t>
            </w:r>
            <w:r>
              <w:rPr>
                <w:rStyle w:val="arialblackbold121"/>
              </w:rPr>
              <w:t>California</w:t>
            </w:r>
            <w:r>
              <w:rPr>
                <w:rStyle w:val="arialblack121"/>
              </w:rPr>
              <w:t xml:space="preserve"> and New York regulators are taking steps to cover customers' exposure with new rate structures and compensation funds, another state is quietly but boldly moving towards market-based pricing. </w:t>
            </w:r>
          </w:p>
          <w:p>
            <w:pPr>
              <w:pStyle w:val="NormalWeb"/>
              <w:rPr>
                <w:rFonts w:ascii="Arial" w:hAnsi="Arial" w:cs="Arial"/>
                <w:sz w:val="16"/>
                <w:szCs w:val="16"/>
              </w:rPr>
            </w:pPr>
            <w:r>
              <w:rPr>
                <w:rStyle w:val="arialblack121"/>
              </w:rPr>
              <w:t xml:space="preserve">On June 30, the Massachusetts Department of Telecommunications and Energy approved rules that will move as much as 20% of the state's retail </w:t>
            </w:r>
            <w:r>
              <w:rPr>
                <w:rStyle w:val="arialblackbold121"/>
              </w:rPr>
              <w:t>electricity</w:t>
            </w:r>
            <w:r>
              <w:rPr>
                <w:rStyle w:val="arialblack121"/>
              </w:rPr>
              <w:t xml:space="preserve"> customers to market-based rates next year. </w:t>
            </w:r>
          </w:p>
          <w:p>
            <w:pPr>
              <w:pStyle w:val="NormalWeb"/>
              <w:rPr>
                <w:rFonts w:ascii="Arial" w:hAnsi="Arial" w:cs="Arial"/>
                <w:sz w:val="16"/>
                <w:szCs w:val="16"/>
              </w:rPr>
            </w:pPr>
            <w:r>
              <w:rPr>
                <w:rStyle w:val="arialblack121"/>
              </w:rPr>
              <w:t xml:space="preserve">In an unprecedented move, the Massachusetts DTE ordered that all customers in the state who have switched suppliers since state deregulation began in March 1998 pay market-based rates beginning Jan. 1. Customers will be given a choice to either float with the market on a month-to-month basis or agree to a fixed markert-based price every six months. </w:t>
            </w:r>
          </w:p>
          <w:p>
            <w:pPr>
              <w:pStyle w:val="NormalWeb"/>
              <w:rPr>
                <w:rFonts w:ascii="Arial" w:hAnsi="Arial" w:cs="Arial"/>
                <w:sz w:val="16"/>
                <w:szCs w:val="16"/>
              </w:rPr>
            </w:pPr>
            <w:r>
              <w:rPr>
                <w:rStyle w:val="arialblack121"/>
              </w:rPr>
              <w:t xml:space="preserve">The rule applies mainly to industrial, commercial and residential customers who have changed suppliers either by moving within or from outside of the state. Thus far, less than 5% of such moves have been related to the state's efforts to develop a competitive market, industry officials say. </w:t>
            </w:r>
          </w:p>
          <w:p>
            <w:pPr>
              <w:pStyle w:val="NormalWeb"/>
              <w:rPr>
                <w:rFonts w:ascii="Arial" w:hAnsi="Arial" w:cs="Arial"/>
                <w:sz w:val="16"/>
                <w:szCs w:val="16"/>
              </w:rPr>
            </w:pPr>
            <w:r>
              <w:rPr>
                <w:rStyle w:val="arialblack121"/>
              </w:rPr>
              <w:t xml:space="preserve">The majority of Massachusetts customers haven't switched suppliers and won't be affected by the new rule. They will enjoy rates until 2005 that are frozen below current wholesale market levels. </w:t>
            </w:r>
            <w:r>
              <w:rPr>
                <w:rFonts w:cs="Arial" w:ascii="Lucida Console" w:hAnsi="Lucida Console"/>
                <w:color w:val="000000"/>
                <w:sz w:val="13"/>
                <w:szCs w:val="13"/>
              </w:rPr>
              <w:br/>
            </w:r>
            <w:r>
              <w:rPr>
                <w:rStyle w:val="lucidablack101"/>
                <w:rFonts w:cs="Arial"/>
              </w:rPr>
              <w:t xml:space="preserve">A Painful, But Necessary Step Toward Competition </w:t>
            </w:r>
          </w:p>
          <w:p>
            <w:pPr>
              <w:pStyle w:val="NormalWeb"/>
              <w:rPr>
                <w:rFonts w:ascii="Arial" w:hAnsi="Arial" w:cs="Arial"/>
                <w:sz w:val="16"/>
                <w:szCs w:val="16"/>
              </w:rPr>
            </w:pPr>
            <w:r>
              <w:rPr>
                <w:rFonts w:cs="Arial" w:ascii="Arial" w:hAnsi="Arial"/>
                <w:color w:val="000000"/>
                <w:sz w:val="16"/>
                <w:szCs w:val="16"/>
              </w:rPr>
              <w:br/>
            </w:r>
            <w:r>
              <w:rPr>
                <w:rStyle w:val="arialblack121"/>
              </w:rPr>
              <w:t xml:space="preserve">"It's not going to be overwhelmingly popular with these customers, but it's the right thing to do to make the market work," said Lawrence J. Reilly, president and chief executive of Massachusetts Electric Co., a unit of U.K.-based National Grid PLC (NGG) which serves more than 1.2 million customers in the western part of the state. About a quarter of a million of those customers will be affected by the new rules, he said. </w:t>
            </w:r>
          </w:p>
          <w:p>
            <w:pPr>
              <w:pStyle w:val="NormalWeb"/>
              <w:rPr>
                <w:rFonts w:ascii="Arial" w:hAnsi="Arial" w:cs="Arial"/>
                <w:sz w:val="16"/>
                <w:szCs w:val="16"/>
              </w:rPr>
            </w:pPr>
            <w:r>
              <w:rPr>
                <w:rStyle w:val="arialblack121"/>
              </w:rPr>
              <w:t xml:space="preserve">Reilly and other industry executives generally acknowledge that the move will likely result in higher electric bills for affected customers. Frozen rates offered by the state's suppliers currently range between 3.8 and 4.5 cents per kilowatt-hour. But high fuel costs and short supplies have kept the wholesale </w:t>
            </w:r>
            <w:r>
              <w:rPr>
                <w:rStyle w:val="arialblackbold121"/>
              </w:rPr>
              <w:t>electricity</w:t>
            </w:r>
            <w:r>
              <w:rPr>
                <w:rStyle w:val="arialblack121"/>
              </w:rPr>
              <w:t xml:space="preserve"> market in the high 4-cent to low 5-cent range this summer, even with unseasonably mild temperatures. </w:t>
            </w:r>
          </w:p>
          <w:p>
            <w:pPr>
              <w:pStyle w:val="NormalWeb"/>
              <w:rPr>
                <w:rFonts w:ascii="Arial" w:hAnsi="Arial" w:cs="Arial"/>
                <w:sz w:val="16"/>
                <w:szCs w:val="16"/>
              </w:rPr>
            </w:pPr>
            <w:r>
              <w:rPr>
                <w:rStyle w:val="arialblack121"/>
              </w:rPr>
              <w:t xml:space="preserve">But however uncomfortable, state regulators have made a necessary step if they ever hope to foster a truly competitive retail market in Massachusetts, said Miles Allen, senior vice president of Dynegy Power Marketing Inc., a unit of Houston-based Dynegy Inc. (DYN). </w:t>
            </w:r>
          </w:p>
          <w:p>
            <w:pPr>
              <w:pStyle w:val="NormalWeb"/>
              <w:rPr>
                <w:rFonts w:ascii="Arial" w:hAnsi="Arial" w:cs="Arial"/>
                <w:sz w:val="16"/>
                <w:szCs w:val="16"/>
              </w:rPr>
            </w:pPr>
            <w:r>
              <w:rPr>
                <w:rStyle w:val="arialblack121"/>
              </w:rPr>
              <w:t xml:space="preserve">"This is where we should have been two years ago," Allen said. Thus far, the frozen rates offered to customers have made it impossible for competitive suppliers to gain a foothold in the Massachusetts market before it becomes fully deregulated in 2005, Allen said. </w:t>
            </w:r>
          </w:p>
          <w:p>
            <w:pPr>
              <w:pStyle w:val="NormalWeb"/>
              <w:rPr>
                <w:rFonts w:ascii="Arial" w:hAnsi="Arial" w:cs="Arial"/>
                <w:sz w:val="16"/>
                <w:szCs w:val="16"/>
              </w:rPr>
            </w:pPr>
            <w:r>
              <w:rPr>
                <w:rStyle w:val="arialblack121"/>
              </w:rPr>
              <w:t xml:space="preserve">Under the new rules, competitors will have a chance to improve on the options offered to a significant block of the Massachusetts retail market. In addition to beating wholesale market prices, competitors will have a chance to market creative payment options to customers, Allen said. </w:t>
            </w:r>
          </w:p>
          <w:p>
            <w:pPr>
              <w:pStyle w:val="NormalWeb"/>
              <w:rPr>
                <w:rFonts w:ascii="Arial" w:hAnsi="Arial" w:cs="Arial"/>
                <w:sz w:val="16"/>
                <w:szCs w:val="16"/>
              </w:rPr>
            </w:pPr>
            <w:r>
              <w:rPr>
                <w:rStyle w:val="arialblack121"/>
              </w:rPr>
              <w:t xml:space="preserve">What's more, Boston-based Nstar Services Co. (NST) is simply deferring costs under the frozen rates for more than 1 million customers in Eastern Massachusetts. Beginning in 2005, customers will pay the difference between their fixed rates and today's high wholesale market prices with a bill surcharge, spokesman Mike Monahan said. </w:t>
            </w:r>
          </w:p>
          <w:p>
            <w:pPr>
              <w:pStyle w:val="NormalWeb"/>
              <w:rPr>
                <w:rFonts w:ascii="Arial" w:hAnsi="Arial" w:cs="Arial"/>
                <w:sz w:val="16"/>
                <w:szCs w:val="16"/>
              </w:rPr>
            </w:pPr>
            <w:r>
              <w:rPr>
                <w:rStyle w:val="arialblack121"/>
              </w:rPr>
              <w:t xml:space="preserve">Having sold its power plants, Nstar aims to shed all its customers and become a wires-based power deliverer rather than a supplier. The company has tried to help competitive suppliers lure its customers away. </w:t>
            </w:r>
          </w:p>
          <w:p>
            <w:pPr>
              <w:pStyle w:val="NormalWeb"/>
              <w:rPr>
                <w:rFonts w:ascii="Arial" w:hAnsi="Arial" w:cs="Arial"/>
                <w:sz w:val="16"/>
                <w:szCs w:val="16"/>
              </w:rPr>
            </w:pPr>
            <w:r>
              <w:rPr>
                <w:rStyle w:val="arialblack121"/>
              </w:rPr>
              <w:t xml:space="preserve">"Customers probably won't see a savings in the wholesale market immediately, but we'd like to see competitors get into a position where they can grow a vibrant competitive market," Monahan said. "In the end, that will benefit consumers." </w:t>
            </w:r>
          </w:p>
          <w:p>
            <w:pPr>
              <w:pStyle w:val="NormalWeb"/>
              <w:rPr>
                <w:rFonts w:ascii="Arial" w:hAnsi="Arial" w:cs="Arial"/>
                <w:sz w:val="16"/>
                <w:szCs w:val="16"/>
              </w:rPr>
            </w:pPr>
            <w:r>
              <w:rPr>
                <w:rStyle w:val="arialblack121"/>
              </w:rPr>
              <w:t xml:space="preserve">Massachusetts Electric's market-based ratepayers will be footing the bill for the rate freeze currently enjoyed by their stationary counterparts. But even with the new changes, their bills should be lower than they were before deregulation began in Massachusetts, Reilly said. </w:t>
            </w:r>
          </w:p>
          <w:p>
            <w:pPr>
              <w:pStyle w:val="NormalWeb"/>
              <w:rPr>
                <w:rFonts w:ascii="Arial" w:hAnsi="Arial" w:cs="Arial"/>
                <w:sz w:val="16"/>
                <w:szCs w:val="16"/>
              </w:rPr>
            </w:pPr>
            <w:r>
              <w:rPr>
                <w:rStyle w:val="arialblack121"/>
              </w:rPr>
              <w:t xml:space="preserve">Wholesale power prices in New England would have to average more than 6.3 cents/kWh for the next three years to erase the savings that customers have seen since the spring of 1998, Reilly said. With mild temperatures this summer, power prices have consistently hovered around or below the 5-cent mark. </w:t>
            </w:r>
          </w:p>
          <w:p>
            <w:pPr>
              <w:pStyle w:val="NormalWeb"/>
              <w:rPr>
                <w:rFonts w:ascii="Arial" w:hAnsi="Arial" w:cs="Arial"/>
                <w:sz w:val="16"/>
                <w:szCs w:val="16"/>
              </w:rPr>
            </w:pPr>
            <w:r>
              <w:rPr>
                <w:rStyle w:val="arialblack121"/>
              </w:rPr>
              <w:t xml:space="preserve">And grid operator ISO New England says there's good reason to think much of those savings will remain intact. In addition to the grace of a mild summer this year and a 1,200-megawatt boost to the generation pool, the ISO expects about 3,000 megawatts' worth of new power generation to be available next year, said ISO spokeswoman Ellen Foley. </w:t>
            </w:r>
          </w:p>
          <w:p>
            <w:pPr>
              <w:pStyle w:val="NormalWeb"/>
              <w:rPr>
                <w:rFonts w:ascii="Arial" w:hAnsi="Arial" w:cs="Arial"/>
                <w:sz w:val="16"/>
                <w:szCs w:val="16"/>
              </w:rPr>
            </w:pPr>
            <w:r>
              <w:rPr>
                <w:rStyle w:val="arialblack121"/>
              </w:rPr>
              <w:t xml:space="preserve">Still, uncertainties about New England's wholesale market loom. This month, Maine Regulators and United Illuminating Co. (UIL) of asked the Federal Energy Regulatory Commission to cut prices that spiked to more than 20 times normal levels in early May as a freak heat wave caught generators by surprise. The price spike cost consumers as much as $100 million, the complainants said. </w:t>
            </w:r>
          </w:p>
          <w:p>
            <w:pPr>
              <w:pStyle w:val="NormalWeb"/>
              <w:rPr>
                <w:rFonts w:ascii="Arial" w:hAnsi="Arial" w:cs="Arial"/>
                <w:sz w:val="16"/>
                <w:szCs w:val="16"/>
              </w:rPr>
            </w:pPr>
            <w:r>
              <w:rPr>
                <w:rStyle w:val="arialblack121"/>
              </w:rPr>
              <w:t xml:space="preserve">The ISO reviewed and upheld the clearing prices in May, and said it won't adjust them unless directed otherwise by the FERC. </w:t>
            </w:r>
          </w:p>
          <w:p>
            <w:pPr>
              <w:pStyle w:val="NormalWeb"/>
              <w:tabs>
                <w:tab w:val="clear" w:pos="720"/>
                <w:tab w:val="left" w:pos="7448" w:leader="none"/>
              </w:tabs>
              <w:ind w:start="23" w:end="0"/>
              <w:rPr>
                <w:rFonts w:ascii="Arial" w:hAnsi="Arial" w:cs="Arial"/>
                <w:sz w:val="16"/>
                <w:szCs w:val="16"/>
              </w:rPr>
            </w:pPr>
            <w:r>
              <w:rPr>
                <w:rStyle w:val="arialblack121"/>
              </w:rPr>
              <w:t xml:space="preserve">By James Covert, Dow Jones Newswires; 201-938-2061; james.covert@dowjones.com </w:t>
            </w:r>
          </w:p>
          <w:p>
            <w:pPr>
              <w:pStyle w:val="Normal"/>
              <w:rPr>
                <w:rFonts w:ascii="Arial" w:hAnsi="Arial" w:eastAsia="Arial Unicode MS" w:cs="Arial"/>
                <w:sz w:val="16"/>
                <w:szCs w:val="16"/>
              </w:rPr>
            </w:pPr>
            <w:r>
              <w:rPr>
                <w:rFonts w:eastAsia="Arial Unicode MS" w:cs="Arial" w:ascii="Arial" w:hAnsi="Arial"/>
                <w:sz w:val="16"/>
                <w:szCs w:val="16"/>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6"/>
      <w:szCs w:val="16"/>
    </w:rPr>
  </w:style>
  <w:style w:type="character" w:styleId="arialblackbold121">
    <w:name w:val="arialblackbold121"/>
    <w:basedOn w:val="DefaultParagraphFont"/>
    <w:qFormat/>
    <w:rPr>
      <w:rFonts w:ascii="Arial" w:hAnsi="Arial" w:cs="Arial"/>
      <w:b/>
      <w:bCs/>
      <w:i w:val="false"/>
      <w:iCs w:val="false"/>
      <w:caps w:val="false"/>
      <w:smallCaps w:val="false"/>
      <w:color w:val="000000"/>
      <w:sz w:val="16"/>
      <w:szCs w:val="16"/>
    </w:rPr>
  </w:style>
  <w:style w:type="character" w:styleId="lucidablack101">
    <w:name w:val="lucidablack101"/>
    <w:basedOn w:val="DefaultParagraphFont"/>
    <w:qFormat/>
    <w:rPr>
      <w:rFonts w:ascii="Lucida Console" w:hAnsi="Lucida Console" w:cs="Lucida Console"/>
      <w:b w:val="false"/>
      <w:bCs w:val="false"/>
      <w:i w:val="false"/>
      <w:iCs w:val="false"/>
      <w:caps w:val="false"/>
      <w:smallCaps w:val="false"/>
      <w:color w:val="000000"/>
      <w:sz w:val="13"/>
      <w:szCs w:val="13"/>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2000-08-25T19:43:00Z</dcterms:created>
  <dc:creator>g dillin</dc:creator>
  <dc:description/>
  <dc:language>en-CA</dc:language>
  <cp:lastModifiedBy>g dillin</cp:lastModifiedBy>
  <dcterms:modified xsi:type="dcterms:W3CDTF">2000-08-25T19:44:00Z</dcterms:modified>
  <cp:revision>1</cp:revision>
  <dc:subject/>
  <dc:title>Mass</dc:title>
</cp:coreProperties>
</file>