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2160" w:end="0"/>
        <w:rPr/>
      </w:pPr>
      <w:r>
        <w:rPr/>
        <w:t xml:space="preserve">      </w:t>
      </w:r>
      <w:r>
        <w:rPr/>
        <w:t>Martin Jermakyan</w:t>
      </w:r>
    </w:p>
    <w:p>
      <w:pPr>
        <w:pStyle w:val="Heading1"/>
        <w:ind w:hanging="0" w:start="-720" w:end="0"/>
        <w:jc w:val="center"/>
        <w:rPr/>
      </w:pPr>
      <w:r>
        <w:rPr/>
        <w:t>410 Brightmore Downs</w:t>
      </w:r>
    </w:p>
    <w:p>
      <w:pPr>
        <w:pStyle w:val="Heading1"/>
        <w:ind w:hanging="0" w:start="-720" w:end="0"/>
        <w:jc w:val="center"/>
        <w:rPr/>
      </w:pPr>
      <w:r>
        <w:rPr/>
        <w:t>Alpharetta, GA  30005</w:t>
      </w:r>
    </w:p>
    <w:p>
      <w:pPr>
        <w:pStyle w:val="Heading1"/>
        <w:ind w:firstLine="720" w:start="1440" w:end="0"/>
        <w:rPr/>
      </w:pPr>
      <w:r>
        <w:rPr/>
        <w:t xml:space="preserve">      </w:t>
      </w:r>
      <w:r>
        <w:rPr/>
        <w:t>(404) 402-8957</w:t>
      </w:r>
    </w:p>
    <w:p>
      <w:pPr>
        <w:pStyle w:val="Normal"/>
        <w:rPr/>
      </w:pPr>
      <w:r>
        <w:rPr/>
        <w:tab/>
        <w:tab/>
        <w:tab/>
      </w:r>
      <w:r>
        <w:rPr>
          <w:b/>
          <w:sz w:val="28"/>
        </w:rPr>
        <w:t xml:space="preserve">      (770) 753-8923 fax</w:t>
      </w:r>
    </w:p>
    <w:p>
      <w:pPr>
        <w:pStyle w:val="Normal"/>
        <w:ind w:start="-720" w:end="0"/>
        <w:jc w:val="center"/>
        <w:rPr/>
      </w:pPr>
      <w:r>
        <w:rPr/>
        <w:t xml:space="preserve">  </w:t>
      </w:r>
      <w:r>
        <w:rPr>
          <w:b/>
          <w:sz w:val="22"/>
        </w:rPr>
        <w:t>Martin@ElectraPartners.com</w:t>
      </w:r>
    </w:p>
    <w:p>
      <w:pPr>
        <w:pStyle w:val="Normal"/>
        <w:ind w:start="-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-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-720" w:end="0"/>
        <w:rPr>
          <w:b/>
          <w:sz w:val="28"/>
        </w:rPr>
      </w:pPr>
      <w:r>
        <w:rPr>
          <w:b/>
          <w:sz w:val="28"/>
        </w:rPr>
        <w:t xml:space="preserve">ElectraPartners.com                                                               </w:t>
      </w:r>
      <w:r>
        <w:rPr>
          <w:b/>
          <w:sz w:val="24"/>
        </w:rPr>
        <w:t>January</w:t>
      </w:r>
      <w:r>
        <w:rPr>
          <w:b/>
          <w:sz w:val="28"/>
        </w:rPr>
        <w:t xml:space="preserve"> </w:t>
      </w:r>
      <w:r>
        <w:rPr>
          <w:b/>
          <w:sz w:val="24"/>
        </w:rPr>
        <w:t>1999</w:t>
      </w:r>
      <w:r>
        <w:rPr>
          <w:sz w:val="24"/>
        </w:rPr>
        <w:t xml:space="preserve"> – </w:t>
      </w:r>
      <w:r>
        <w:rPr>
          <w:b/>
          <w:sz w:val="24"/>
        </w:rPr>
        <w:t xml:space="preserve">Present </w:t>
      </w:r>
    </w:p>
    <w:p>
      <w:pPr>
        <w:pStyle w:val="Heading3"/>
        <w:ind w:hanging="0" w:start="-720" w:end="0"/>
        <w:rPr/>
      </w:pPr>
      <w:r>
        <w:rPr/>
        <w:t>Co-owner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Executive management of the company, project management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 xml:space="preserve">Modeling and pricing of power market products, with the consideration of non-storability of power. Integrated approach for pricing physical and financial products, and capturing of volumetric risk.  Modeling of the volumetric risk  driven risk premium 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Modeling and pricing of financial derivatives, volatility and correlation estimation, development of software packages.  Pricing of S&amp;P500 futures options based on volatility skew, skew adjusted greeks,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  <w:t>managing the development of easy-to-use front-end GUI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 trading performance evaluation systems, trading, risk management and position monitoring systems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derivative pricing packages for financial products in power markets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Research on optimal dispatch, unit commitment and decommitment systems for power physical markets.  Methods for analyzing the possibility of exercise of market power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Modeling coal dispatch problems.  Managing coal price calculation software development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>
          <w:b/>
          <w:sz w:val="28"/>
        </w:rPr>
      </w:pPr>
      <w:r>
        <w:rPr>
          <w:b/>
          <w:sz w:val="28"/>
        </w:rPr>
        <w:t>RiskLimited, Ltd</w:t>
      </w:r>
      <w:r>
        <w:rPr>
          <w:b/>
        </w:rPr>
        <w:t>.</w:t>
      </w:r>
      <w:r>
        <w:rPr/>
        <w:t xml:space="preserve"> </w:t>
        <w:tab/>
        <w:tab/>
        <w:tab/>
        <w:tab/>
        <w:tab/>
        <w:t xml:space="preserve">                               </w:t>
      </w:r>
      <w:r>
        <w:rPr>
          <w:b/>
          <w:sz w:val="24"/>
        </w:rPr>
        <w:t>June 2000 - Present</w:t>
      </w:r>
    </w:p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  <w:t xml:space="preserve">Senior Advisor 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Strategic management analysis of a power marketing company</w:t>
      </w:r>
    </w:p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-720" w:end="0"/>
        <w:rPr/>
      </w:pPr>
      <w:r>
        <w:rPr>
          <w:b/>
          <w:sz w:val="28"/>
        </w:rPr>
        <w:t xml:space="preserve">Altra Energy Technologies, Inc.    </w:t>
      </w:r>
      <w:r>
        <w:rPr>
          <w:sz w:val="28"/>
        </w:rPr>
        <w:t xml:space="preserve"> </w:t>
        <w:tab/>
        <w:tab/>
        <w:t xml:space="preserve">                 </w:t>
      </w:r>
      <w:r>
        <w:rPr>
          <w:b/>
          <w:sz w:val="24"/>
        </w:rPr>
        <w:t>August 1999</w:t>
      </w:r>
      <w:r>
        <w:rPr>
          <w:sz w:val="24"/>
        </w:rPr>
        <w:t xml:space="preserve"> – </w:t>
      </w:r>
      <w:r>
        <w:rPr>
          <w:b/>
          <w:sz w:val="24"/>
        </w:rPr>
        <w:t>December 1999</w:t>
      </w:r>
    </w:p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  <w:t>Vice President of Research of Altra Risk Management Services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Integration of Altra's products and products of other vendors. Enhancing Altra's existing products functionality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Research in the area of Credit Derivatives and Credit Risk Management in Energy industry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Analysis and proposals for improving Altrade's Credit Risk Management mechanism.  Research into the state-of-the-art Credit Risk Management mechanisms</w:t>
      </w:r>
    </w:p>
    <w:p>
      <w:pPr>
        <w:pStyle w:val="Heading1"/>
        <w:ind w:hanging="0"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  <w:t>Hybrid Consulting Group, Ltd.</w:t>
        <w:tab/>
        <w:tab/>
        <w:t xml:space="preserve">              </w:t>
      </w:r>
      <w:r>
        <w:rPr>
          <w:sz w:val="24"/>
        </w:rPr>
        <w:t>February 1998 – December 1998</w:t>
      </w:r>
    </w:p>
    <w:p>
      <w:pPr>
        <w:pStyle w:val="Heading1"/>
        <w:ind w:hanging="0" w:start="-720" w:end="0"/>
        <w:rPr>
          <w:sz w:val="24"/>
        </w:rPr>
      </w:pPr>
      <w:r>
        <w:rPr>
          <w:sz w:val="24"/>
        </w:rPr>
        <w:t>Founding and Managing Partner, VP of Product Development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Establishment and management of the Chicago office, and the quantitative and product development departments of the company, project management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Modeling and development of a pricing software package for power markets financial products, modeling of load dynamics contingent to available capacity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front-end and back-end GUI for power market products</w:t>
      </w:r>
    </w:p>
    <w:p>
      <w:pPr>
        <w:pStyle w:val="Normal"/>
        <w:rPr>
          <w:sz w:val="18"/>
          <w:lang w:eastAsia="en-US"/>
        </w:rPr>
      </w:pPr>
      <w:r>
        <w:rPr>
          <w:sz w:val="18"/>
          <w:lang w:eastAsia="en-US"/>
        </w:rPr>
        <w:t xml:space="preserve">                                                                  </w:t>
      </w:r>
    </w:p>
    <w:p>
      <w:pPr>
        <w:pStyle w:val="Normal"/>
        <w:rPr>
          <w:sz w:val="18"/>
          <w:lang w:eastAsia="en-US"/>
        </w:rPr>
      </w:pPr>
      <w:r>
        <w:rPr>
          <w:sz w:val="18"/>
          <w:lang w:eastAsia="en-US"/>
        </w:rPr>
      </w:r>
    </w:p>
    <w:p>
      <w:pPr>
        <w:pStyle w:val="Normal"/>
        <w:rPr>
          <w:sz w:val="18"/>
          <w:lang w:eastAsia="en-US"/>
        </w:rPr>
      </w:pPr>
      <w:r>
        <w:rPr>
          <w:sz w:val="18"/>
          <w:lang w:eastAsia="en-US"/>
        </w:rPr>
      </w:r>
    </w:p>
    <w:p>
      <w:pPr>
        <w:pStyle w:val="Normal"/>
        <w:rPr>
          <w:sz w:val="18"/>
          <w:lang w:eastAsia="en-US"/>
        </w:rPr>
      </w:pPr>
      <w:r>
        <w:rPr>
          <w:sz w:val="18"/>
          <w:lang w:eastAsia="en-US"/>
        </w:rPr>
        <w:t xml:space="preserve">                                                                         </w:t>
      </w:r>
      <w:r>
        <w:rPr>
          <w:sz w:val="18"/>
          <w:lang w:eastAsia="en-US"/>
        </w:rPr>
        <w:t>Martin Jermakyan</w:t>
      </w:r>
    </w:p>
    <w:p>
      <w:pPr>
        <w:pStyle w:val="Heading1"/>
        <w:ind w:hanging="0" w:start="-720" w:end="0"/>
        <w:jc w:val="center"/>
        <w:rPr>
          <w:b w:val="false"/>
          <w:sz w:val="18"/>
          <w:lang w:eastAsia="en-US"/>
        </w:rPr>
      </w:pPr>
      <w:r>
        <w:rPr>
          <w:b w:val="false"/>
          <w:sz w:val="18"/>
          <w:lang w:eastAsia="en-US"/>
        </w:rPr>
        <w:t xml:space="preserve">Page </w:t>
      </w:r>
      <w:r>
        <w:rPr>
          <w:b w:val="false"/>
          <w:sz w:val="18"/>
          <w:lang w:eastAsia="en-US"/>
        </w:rPr>
        <w:fldChar w:fldCharType="begin"/>
      </w:r>
      <w:r>
        <w:rPr>
          <w:sz w:val="18"/>
          <w:b w:val="false"/>
          <w:lang w:eastAsia="en-US"/>
        </w:rPr>
        <w:instrText xml:space="preserve"> PAGE </w:instrText>
      </w:r>
      <w:r>
        <w:rPr>
          <w:sz w:val="18"/>
          <w:b w:val="false"/>
          <w:lang w:eastAsia="en-US"/>
        </w:rPr>
        <w:fldChar w:fldCharType="separate"/>
      </w:r>
      <w:r>
        <w:rPr>
          <w:sz w:val="18"/>
          <w:b w:val="false"/>
          <w:lang w:eastAsia="en-US"/>
        </w:rPr>
        <w:t>2</w:t>
      </w:r>
      <w:r>
        <w:rPr>
          <w:sz w:val="18"/>
          <w:b w:val="false"/>
          <w:lang w:eastAsia="en-US"/>
        </w:rPr>
        <w:fldChar w:fldCharType="end"/>
      </w:r>
      <w:r>
        <w:rPr>
          <w:b w:val="false"/>
          <w:sz w:val="18"/>
          <w:lang w:eastAsia="en-US"/>
        </w:rPr>
        <w:t xml:space="preserve"> of </w:t>
      </w:r>
      <w:r>
        <w:rPr>
          <w:b w:val="false"/>
          <w:sz w:val="18"/>
          <w:lang w:eastAsia="en-US"/>
        </w:rPr>
        <w:fldChar w:fldCharType="begin"/>
      </w:r>
      <w:r>
        <w:rPr>
          <w:sz w:val="18"/>
          <w:b w:val="false"/>
          <w:lang w:eastAsia="en-US"/>
        </w:rPr>
        <w:instrText xml:space="preserve"> NUMPAGES \* ARABIC </w:instrText>
      </w:r>
      <w:r>
        <w:rPr>
          <w:sz w:val="18"/>
          <w:b w:val="false"/>
          <w:lang w:eastAsia="en-US"/>
        </w:rPr>
        <w:fldChar w:fldCharType="separate"/>
      </w:r>
      <w:r>
        <w:rPr>
          <w:sz w:val="18"/>
          <w:b w:val="false"/>
          <w:lang w:eastAsia="en-US"/>
        </w:rPr>
        <w:t>3</w:t>
      </w:r>
      <w:r>
        <w:rPr>
          <w:sz w:val="18"/>
          <w:b w:val="false"/>
          <w:lang w:eastAsia="en-US"/>
        </w:rPr>
        <w:fldChar w:fldCharType="end"/>
      </w:r>
    </w:p>
    <w:p>
      <w:pPr>
        <w:pStyle w:val="Normal"/>
        <w:rPr>
          <w:b/>
          <w:sz w:val="18"/>
          <w:lang w:eastAsia="en-US"/>
        </w:rPr>
      </w:pPr>
      <w:r>
        <w:rPr>
          <w:b/>
          <w:sz w:val="18"/>
          <w:lang w:eastAsia="en-US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-720" w:end="0"/>
        <w:rPr/>
      </w:pPr>
      <w:r>
        <w:rPr/>
        <w:t xml:space="preserve">Jermakyan &amp; Associates </w:t>
        <w:tab/>
        <w:tab/>
        <w:tab/>
        <w:tab/>
        <w:t xml:space="preserve">            </w:t>
      </w:r>
      <w:r>
        <w:rPr>
          <w:sz w:val="24"/>
        </w:rPr>
        <w:t>April 1995 – January 1998</w:t>
      </w:r>
    </w:p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  <w:t xml:space="preserve">President 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 xml:space="preserve">Development of options and other derivatives pricing routines. Development of model calibration and unobservable factors estimation routines based on optimization and inverse problems theories 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new, efficient, proprietary models for products of interest rate markets. Applicable to credit instruments modeling. Development of proprietary volatility trading models for equity index and currency option markets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mathematical machinery for real-time market-making systems for options markets</w:t>
      </w:r>
    </w:p>
    <w:p>
      <w:pPr>
        <w:pStyle w:val="Normal"/>
        <w:ind w:start="-108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2160" w:end="0"/>
        <w:rPr>
          <w:sz w:val="18"/>
          <w:lang w:eastAsia="en-US"/>
        </w:rPr>
      </w:pPr>
      <w:r>
        <w:rPr>
          <w:sz w:val="18"/>
          <w:lang w:eastAsia="en-US"/>
        </w:rPr>
      </w:r>
    </w:p>
    <w:p>
      <w:pPr>
        <w:pStyle w:val="Normal"/>
        <w:ind w:start="-720" w:end="0"/>
        <w:jc w:val="both"/>
        <w:rPr>
          <w:b/>
          <w:sz w:val="22"/>
        </w:rPr>
      </w:pPr>
      <w:r>
        <w:rPr>
          <w:sz w:val="18"/>
          <w:lang w:eastAsia="en-US"/>
        </w:rPr>
        <w:t xml:space="preserve"> </w:t>
      </w:r>
    </w:p>
    <w:p>
      <w:pPr>
        <w:pStyle w:val="Normal"/>
        <w:ind w:start="-720" w:end="0"/>
        <w:rPr>
          <w:b/>
          <w:sz w:val="28"/>
        </w:rPr>
      </w:pPr>
      <w:r>
        <w:rPr>
          <w:b/>
          <w:sz w:val="28"/>
        </w:rPr>
        <w:t>Previous clients include</w:t>
      </w:r>
    </w:p>
    <w:p>
      <w:pPr>
        <w:pStyle w:val="BodyText2"/>
        <w:ind w:start="-720" w:end="0"/>
        <w:rPr/>
      </w:pPr>
      <w:r>
        <w:rPr/>
        <w:t xml:space="preserve">Calpine Corp., Cinergy Corp., Peabody Group, TNMP, Hull Trading Company, Futurex Trading, Efficient Capital Management  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  <w:t>Education</w:t>
      </w:r>
    </w:p>
    <w:p>
      <w:pPr>
        <w:pStyle w:val="Normal"/>
        <w:ind w:start="-720" w:end="0"/>
        <w:rPr/>
      </w:pPr>
      <w:r>
        <w:rPr>
          <w:b/>
          <w:sz w:val="24"/>
        </w:rPr>
        <w:t>Post-Doctoral Fellow</w:t>
      </w:r>
      <w:r>
        <w:rPr>
          <w:sz w:val="22"/>
        </w:rPr>
        <w:t xml:space="preserve"> </w:t>
        <w:tab/>
        <w:t>UCLA, Applied Mathematics Division, 1993-1994</w:t>
      </w:r>
    </w:p>
    <w:p>
      <w:pPr>
        <w:pStyle w:val="Normal"/>
        <w:ind w:start="-720" w:end="0"/>
        <w:rPr/>
      </w:pPr>
      <w:r>
        <w:rPr>
          <w:b/>
          <w:sz w:val="24"/>
        </w:rPr>
        <w:t>PhD</w:t>
      </w:r>
      <w:r>
        <w:rPr>
          <w:b/>
          <w:sz w:val="28"/>
        </w:rPr>
        <w:t xml:space="preserve">   </w:t>
        <w:tab/>
        <w:tab/>
        <w:tab/>
        <w:tab/>
      </w:r>
      <w:r>
        <w:rPr>
          <w:sz w:val="22"/>
        </w:rPr>
        <w:t>Mathematics and Physics,</w:t>
      </w:r>
      <w:r>
        <w:rPr>
          <w:b/>
          <w:sz w:val="22"/>
        </w:rPr>
        <w:t xml:space="preserve"> </w:t>
      </w:r>
      <w:r>
        <w:rPr>
          <w:sz w:val="22"/>
        </w:rPr>
        <w:t xml:space="preserve">Moscow State University, 1987  </w:t>
      </w:r>
    </w:p>
    <w:p>
      <w:pPr>
        <w:pStyle w:val="Normal"/>
        <w:ind w:start="-720" w:end="0"/>
        <w:rPr/>
      </w:pPr>
      <w:r>
        <w:rPr>
          <w:b/>
          <w:sz w:val="24"/>
        </w:rPr>
        <w:t>MS</w:t>
      </w:r>
      <w:r>
        <w:rPr>
          <w:b/>
          <w:sz w:val="22"/>
        </w:rPr>
        <w:t xml:space="preserve">  </w:t>
      </w:r>
      <w:r>
        <w:rPr>
          <w:b/>
        </w:rPr>
        <w:t xml:space="preserve">  </w:t>
      </w:r>
      <w:r>
        <w:rPr/>
        <w:t xml:space="preserve">  </w:t>
        <w:tab/>
        <w:tab/>
        <w:tab/>
        <w:tab/>
      </w:r>
      <w:r>
        <w:rPr>
          <w:sz w:val="22"/>
        </w:rPr>
        <w:t>Mathematics and Mechanics, Yerevan State University, 1984</w:t>
      </w:r>
    </w:p>
    <w:p>
      <w:pPr>
        <w:pStyle w:val="BodyText"/>
        <w:ind w:start="-720" w:end="0"/>
        <w:rPr/>
      </w:pPr>
      <w:r>
        <w:rPr>
          <w:sz w:val="24"/>
        </w:rPr>
        <w:t>BS</w:t>
      </w:r>
      <w:r>
        <w:rPr>
          <w:b w:val="false"/>
          <w:sz w:val="24"/>
        </w:rPr>
        <w:t xml:space="preserve"> </w:t>
      </w:r>
      <w:r>
        <w:rPr>
          <w:b w:val="false"/>
        </w:rPr>
        <w:t xml:space="preserve">      </w:t>
        <w:tab/>
        <w:tab/>
        <w:tab/>
        <w:tab/>
        <w:t xml:space="preserve">Mathematics and Mechanics, Yerevan State University, 1983       </w:t>
      </w:r>
    </w:p>
    <w:p>
      <w:pPr>
        <w:pStyle w:val="BodyText"/>
        <w:ind w:start="-720" w:end="0"/>
        <w:rPr>
          <w:b w:val="false"/>
        </w:rPr>
      </w:pPr>
      <w:r>
        <w:rPr>
          <w:b w:val="false"/>
        </w:rPr>
        <w:t xml:space="preserve">           </w:t>
      </w:r>
    </w:p>
    <w:p>
      <w:pPr>
        <w:pStyle w:val="BodyText"/>
        <w:ind w:start="-720" w:end="0"/>
        <w:rPr>
          <w:b w:val="false"/>
        </w:rPr>
      </w:pPr>
      <w:r>
        <w:rPr>
          <w:b w:val="false"/>
        </w:rPr>
        <w:t xml:space="preserve"> </w:t>
      </w:r>
    </w:p>
    <w:p>
      <w:pPr>
        <w:pStyle w:val="BodyText"/>
        <w:ind w:start="-720" w:end="0"/>
        <w:rPr>
          <w:sz w:val="28"/>
        </w:rPr>
      </w:pPr>
      <w:r>
        <w:rPr>
          <w:sz w:val="28"/>
        </w:rPr>
        <w:t>Academic Experience</w:t>
      </w:r>
    </w:p>
    <w:p>
      <w:pPr>
        <w:pStyle w:val="BodyText"/>
        <w:ind w:start="-720" w:end="0"/>
        <w:rPr/>
      </w:pPr>
      <w:r>
        <w:rPr>
          <w:sz w:val="24"/>
        </w:rPr>
        <w:t xml:space="preserve">Associate Research Scientist   </w:t>
      </w:r>
      <w:r>
        <w:rPr>
          <w:b w:val="false"/>
        </w:rPr>
        <w:t xml:space="preserve">University of Michigan Industrial and Operations Engineering   </w:t>
      </w:r>
    </w:p>
    <w:p>
      <w:pPr>
        <w:pStyle w:val="BodyText"/>
        <w:ind w:start="-720" w:end="0"/>
        <w:rPr>
          <w:b w:val="false"/>
        </w:rPr>
      </w:pPr>
      <w:r>
        <w:rPr>
          <w:b w:val="false"/>
        </w:rPr>
        <w:t xml:space="preserve">   </w:t>
      </w:r>
      <w:r>
        <w:rPr>
          <w:b w:val="false"/>
        </w:rPr>
        <w:tab/>
        <w:tab/>
        <w:tab/>
        <w:tab/>
        <w:t xml:space="preserve">    Department, Financial Engineering Program, 1996-1997</w:t>
      </w:r>
    </w:p>
    <w:p>
      <w:pPr>
        <w:pStyle w:val="BodyText"/>
        <w:ind w:start="-720" w:end="0"/>
        <w:rPr/>
      </w:pPr>
      <w:r>
        <w:rPr>
          <w:sz w:val="24"/>
        </w:rPr>
        <w:t xml:space="preserve">Associate Research Scientist </w:t>
      </w:r>
      <w:r>
        <w:rPr>
          <w:b w:val="false"/>
          <w:sz w:val="24"/>
        </w:rPr>
        <w:t xml:space="preserve">  </w:t>
      </w:r>
      <w:r>
        <w:rPr>
          <w:b w:val="false"/>
        </w:rPr>
        <w:t>University of Michigan Business School, 1995-1996</w:t>
      </w:r>
    </w:p>
    <w:p>
      <w:pPr>
        <w:pStyle w:val="BodyText"/>
        <w:ind w:start="-720" w:end="0"/>
        <w:rPr/>
      </w:pPr>
      <w:r>
        <w:rPr>
          <w:sz w:val="24"/>
        </w:rPr>
        <w:t>Visiting Assistant Professor</w:t>
      </w:r>
      <w:r>
        <w:rPr>
          <w:b w:val="false"/>
        </w:rPr>
        <w:t xml:space="preserve">     University of Michigan Mathematics Department, 1994-1995</w:t>
      </w:r>
    </w:p>
    <w:p>
      <w:pPr>
        <w:pStyle w:val="BodyText"/>
        <w:ind w:start="-720" w:end="0"/>
        <w:rPr/>
      </w:pPr>
      <w:r>
        <w:rPr>
          <w:sz w:val="24"/>
        </w:rPr>
        <w:t>Adjunct Assistant Professor</w:t>
      </w:r>
      <w:r>
        <w:rPr>
          <w:b w:val="false"/>
        </w:rPr>
        <w:t xml:space="preserve">    UCLA</w:t>
      </w:r>
      <w:r>
        <w:rPr/>
        <w:t xml:space="preserve"> </w:t>
      </w:r>
      <w:r>
        <w:rPr>
          <w:b w:val="false"/>
        </w:rPr>
        <w:t>Mathematics Department, 1994</w:t>
      </w:r>
    </w:p>
    <w:p>
      <w:pPr>
        <w:pStyle w:val="BodyText"/>
        <w:ind w:start="-720" w:end="0"/>
        <w:rPr/>
      </w:pPr>
      <w:r>
        <w:rPr>
          <w:sz w:val="24"/>
        </w:rPr>
        <w:t>Lecturer</w:t>
      </w:r>
      <w:r>
        <w:rPr/>
        <w:tab/>
        <w:tab/>
        <w:tab/>
        <w:t xml:space="preserve">    </w:t>
      </w:r>
      <w:r>
        <w:rPr>
          <w:b w:val="false"/>
        </w:rPr>
        <w:t>West Los Angeles Community College, 1992</w:t>
      </w:r>
    </w:p>
    <w:p>
      <w:pPr>
        <w:pStyle w:val="BodyText"/>
        <w:ind w:start="-720" w:end="0"/>
        <w:rPr>
          <w:b w:val="false"/>
          <w:sz w:val="20"/>
        </w:rPr>
      </w:pPr>
      <w:r>
        <w:rPr>
          <w:sz w:val="24"/>
        </w:rPr>
        <w:t>Graduate Research Assistant</w:t>
      </w:r>
      <w:r>
        <w:rPr>
          <w:b w:val="false"/>
        </w:rPr>
        <w:t xml:space="preserve">  Moscow State University,</w:t>
      </w:r>
      <w:r>
        <w:rPr/>
        <w:t xml:space="preserve"> </w:t>
      </w:r>
      <w:r>
        <w:rPr>
          <w:b w:val="false"/>
        </w:rPr>
        <w:t>Mathematics Department, 1984-1987</w:t>
      </w:r>
    </w:p>
    <w:p>
      <w:pPr>
        <w:pStyle w:val="Normal"/>
        <w:ind w:start="-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  <w:t>Recent Publications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-720" w:leader="none"/>
        </w:tabs>
        <w:ind w:hanging="360" w:start="-720" w:end="0"/>
        <w:rPr/>
      </w:pPr>
      <w:r>
        <w:rPr>
          <w:sz w:val="22"/>
        </w:rPr>
        <w:t>"Non-parametric estimations of a local volatility surface" The Journal of Computational Finance, v. 2, #4, 1999.</w:t>
      </w:r>
      <w:r>
        <w:rPr/>
        <w:t xml:space="preserve"> 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-720" w:leader="none"/>
        </w:tabs>
        <w:ind w:hanging="360" w:start="-720" w:end="0"/>
        <w:rPr/>
      </w:pPr>
      <w:r>
        <w:rPr>
          <w:sz w:val="22"/>
        </w:rPr>
        <w:t>“</w:t>
      </w:r>
      <w:r>
        <w:rPr>
          <w:sz w:val="22"/>
        </w:rPr>
        <w:t xml:space="preserve">Integrated valuation of power and weather derivatives” Energy Modelling and the Management of Uncertainty.  Risk Books, 1999.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 xml:space="preserve">"To the next level" Energy and Power Risk Management Magazine, March 2000. Special Issue 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</w:r>
    </w:p>
    <w:p>
      <w:pPr>
        <w:pStyle w:val="Heading1"/>
        <w:ind w:hanging="0" w:start="-720" w:end="0"/>
        <w:rPr/>
      </w:pPr>
      <w:r>
        <w:rPr/>
      </w:r>
    </w:p>
    <w:p>
      <w:pPr>
        <w:pStyle w:val="Heading1"/>
        <w:ind w:hanging="0" w:start="-720" w:end="0"/>
        <w:rPr/>
      </w:pPr>
      <w:r>
        <w:rPr/>
        <w:t>Research in Progress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-360" w:leader="none"/>
        </w:tabs>
        <w:ind w:hanging="360" w:start="-360" w:end="0"/>
        <w:rPr>
          <w:sz w:val="22"/>
        </w:rPr>
      </w:pPr>
      <w:r>
        <w:rPr>
          <w:sz w:val="22"/>
        </w:rPr>
        <w:t>"Credit derivatives and their use in credit risk management practices"</w:t>
      </w:r>
    </w:p>
    <w:p>
      <w:pPr>
        <w:pStyle w:val="BodyText2"/>
        <w:numPr>
          <w:ilvl w:val="0"/>
          <w:numId w:val="3"/>
        </w:numPr>
        <w:tabs>
          <w:tab w:val="clear" w:pos="720"/>
          <w:tab w:val="left" w:pos="-360" w:leader="none"/>
        </w:tabs>
        <w:ind w:hanging="360" w:start="-360" w:end="0"/>
        <w:rPr/>
      </w:pPr>
      <w:r>
        <w:rPr/>
        <w:t>“</w:t>
      </w:r>
      <w:r>
        <w:rPr/>
        <w:t>Applications of Pontriagin Maximum Principal in the problem of optimal unit commitment-decommitment with the consideration of transmission loses, load dynamics, ramp constraints, electric network configuration, transmission constraints, etc.  Game-theoretical methods for “spot” price determination”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-360" w:leader="none"/>
        </w:tabs>
        <w:ind w:hanging="360" w:start="-36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Integer programming and optimal control methods for optimal trading strategies”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>
          <w:b w:val="false"/>
        </w:rPr>
      </w:pPr>
      <w:r>
        <w:rPr/>
        <w:t>Other</w:t>
      </w:r>
    </w:p>
    <w:p>
      <w:pPr>
        <w:pStyle w:val="BodyText2"/>
        <w:ind w:start="-720" w:end="0"/>
        <w:rPr/>
      </w:pPr>
      <w:r>
        <w:rPr/>
        <w:t>Speaker at a number of Financial Risk Management workshops and conferences.  Organizer of 1998 Chicago Risk Management conference. Speaker at a number of Corporate Seminars</w:t>
      </w:r>
    </w:p>
    <w:p>
      <w:pPr>
        <w:pStyle w:val="BodyText2"/>
        <w:ind w:start="-720" w:end="0"/>
        <w:rPr/>
      </w:pPr>
      <w:r>
        <w:rPr/>
      </w:r>
    </w:p>
    <w:p>
      <w:pPr>
        <w:pStyle w:val="BodyText2"/>
        <w:ind w:start="-720" w:end="0"/>
        <w:rPr/>
      </w:pPr>
      <w:r>
        <w:rPr>
          <w:b/>
          <w:sz w:val="28"/>
        </w:rPr>
        <w:t>References</w:t>
      </w:r>
      <w:r>
        <w:rPr/>
        <w:t xml:space="preserve"> </w:t>
      </w:r>
    </w:p>
    <w:p>
      <w:pPr>
        <w:pStyle w:val="BodyText2"/>
        <w:ind w:start="-720" w:end="0"/>
        <w:rPr/>
      </w:pPr>
      <w:r>
        <w:rPr/>
        <w:t>Available upon request</w:t>
      </w:r>
    </w:p>
    <w:p>
      <w:pPr>
        <w:pStyle w:val="BodyText2"/>
        <w:ind w:start="-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2000-10-13T17:56:00Z</dcterms:created>
  <dc:creator>Martin Jermakyan</dc:creator>
  <dc:description/>
  <dc:language>en-CA</dc:language>
  <cp:lastModifiedBy>ssummer2</cp:lastModifiedBy>
  <cp:lastPrinted>2000-01-10T14:36:00Z</cp:lastPrinted>
  <dcterms:modified xsi:type="dcterms:W3CDTF">2000-10-13T17:56:00Z</dcterms:modified>
  <cp:revision>2</cp:revision>
  <dc:subject/>
  <dc:title>Martin Jermakyan </dc:title>
</cp:coreProperties>
</file>