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jc w:val="center"/>
        <w:rPr/>
      </w:pPr>
      <w:r>
        <w:rPr/>
        <w:t>Comparison between Part 161 and Proposed 358</w:t>
      </w:r>
    </w:p>
    <w:p>
      <w:pPr>
        <w:pStyle w:val="Heading2"/>
        <w:ind w:hanging="0" w:start="0"/>
        <w:rPr/>
      </w:pPr>
      <w:r>
        <w:rPr/>
      </w:r>
    </w:p>
    <w:p>
      <w:pPr>
        <w:pStyle w:val="Heading2"/>
        <w:ind w:hanging="0" w:start="0"/>
        <w:rPr/>
      </w:pPr>
      <w:r>
        <w:rPr/>
        <w:t>Definitions</w:t>
      </w:r>
    </w:p>
    <w:p>
      <w:pPr>
        <w:pStyle w:val="Normal"/>
        <w:rPr/>
      </w:pPr>
      <w:r>
        <w:rPr/>
      </w:r>
    </w:p>
    <w:p>
      <w:pPr>
        <w:pStyle w:val="Normal"/>
        <w:rPr/>
      </w:pPr>
      <w:r>
        <w:rPr/>
        <w:t xml:space="preserve">161.2(a) Affiliate:  entity, which controls, is controlled by, or is under common control with, a natural gas marketing or brokering entity and conducts transportation transactions with its marketing or brokering entity.  Also applies to pipeline sales operating units.  </w:t>
      </w:r>
    </w:p>
    <w:p>
      <w:pPr>
        <w:pStyle w:val="Normal"/>
        <w:rPr/>
      </w:pPr>
      <w:r>
        <w:rPr/>
      </w:r>
    </w:p>
    <w:p>
      <w:pPr>
        <w:pStyle w:val="Normal"/>
        <w:rPr/>
      </w:pPr>
      <w:r>
        <w:rPr/>
        <w:t>Producers that sell from their own production, gatherers that sell from their own gathering facilities and LDCs that make on-system sales are exempt (18 CFR §161.2).</w:t>
      </w:r>
    </w:p>
    <w:p>
      <w:pPr>
        <w:pStyle w:val="Normal"/>
        <w:rPr/>
      </w:pPr>
      <w:r>
        <w:rPr/>
      </w:r>
    </w:p>
    <w:p>
      <w:pPr>
        <w:pStyle w:val="Normal"/>
        <w:rPr/>
      </w:pPr>
      <w:r>
        <w:rPr/>
        <w:t xml:space="preserve">358.3 Energy affiliate:  an affiliate of a transmission provider that engages in or is involved in transmission transactions; or manages or controls transmission capacity of a transmission provider; or buys, sells, trades or administers natural gas or electric energy; or engages in financial transactions relating to the sale or transmission of natural gas or electric energy.  </w:t>
      </w:r>
    </w:p>
    <w:p>
      <w:pPr>
        <w:pStyle w:val="Normal"/>
        <w:rPr/>
      </w:pPr>
      <w:r>
        <w:rPr/>
      </w:r>
    </w:p>
    <w:p>
      <w:pPr>
        <w:pStyle w:val="Heading2"/>
        <w:ind w:hanging="0" w:start="0"/>
        <w:rPr/>
      </w:pPr>
      <w:r>
        <w:rPr/>
        <w:t>Independent Functioning</w:t>
      </w:r>
    </w:p>
    <w:p>
      <w:pPr>
        <w:pStyle w:val="Normal"/>
        <w:rPr/>
      </w:pPr>
      <w:r>
        <w:rPr/>
      </w:r>
    </w:p>
    <w:p>
      <w:pPr>
        <w:pStyle w:val="Normal"/>
        <w:rPr/>
      </w:pPr>
      <w:r>
        <w:rPr/>
        <w:t>161.3(g) To the maximum extent practicable its (interstate natural gas pipeline) operating employees and the operating employees of its marketing affiliate must function independently of each other.</w:t>
      </w:r>
    </w:p>
    <w:p>
      <w:pPr>
        <w:pStyle w:val="Normal"/>
        <w:rPr/>
      </w:pPr>
      <w:r>
        <w:rPr/>
      </w:r>
    </w:p>
    <w:p>
      <w:pPr>
        <w:pStyle w:val="Normal"/>
        <w:rPr/>
      </w:pPr>
      <w:r>
        <w:rPr/>
        <w:t>358.4(a)(1) Except in emergency circumstances affecting system reliability, the transmission function employees of the transmission provider must function independently of the transmission provider’s marketing or sales employees, and its energy affiliates’ employees.  (2) Notwithstanding any other provisions in this section, in emergency circumstances affecting system reliability, transmission providers may take whatever steps are necessary to keep the system in operation.  Transmission providers must report to the Commission and post on the OASIS or Internet website, as applicable, each emergency that resulted in any deviation from the standards of conduct, within 24 hours of such deviation.</w:t>
      </w:r>
    </w:p>
    <w:p>
      <w:pPr>
        <w:pStyle w:val="Normal"/>
        <w:rPr/>
      </w:pPr>
      <w:r>
        <w:rPr/>
      </w:r>
    </w:p>
    <w:p>
      <w:pPr>
        <w:pStyle w:val="Heading2"/>
        <w:ind w:hanging="0" w:start="0"/>
        <w:rPr>
          <w:u w:val="none"/>
        </w:rPr>
      </w:pPr>
      <w:r>
        <w:rPr/>
        <w:t>Written Procedures</w:t>
      </w:r>
    </w:p>
    <w:p>
      <w:pPr>
        <w:pStyle w:val="Normal"/>
        <w:rPr>
          <w:u w:val="none"/>
        </w:rPr>
      </w:pPr>
      <w:r>
        <w:rPr>
          <w:u w:val="none"/>
        </w:rPr>
      </w:r>
    </w:p>
    <w:p>
      <w:pPr>
        <w:pStyle w:val="Normal"/>
        <w:rPr/>
      </w:pPr>
      <w:r>
        <w:rPr/>
        <w:t>161.3(i) It (interstate natural gas pipeline) must file with the Commission procedures that will enable shippers and the Commission to determine how the pipeline is complying with the standards in this section.</w:t>
      </w:r>
    </w:p>
    <w:p>
      <w:pPr>
        <w:pStyle w:val="Normal"/>
        <w:rPr/>
      </w:pPr>
      <w:r>
        <w:rPr/>
      </w:r>
    </w:p>
    <w:p>
      <w:pPr>
        <w:pStyle w:val="Normal"/>
        <w:rPr/>
      </w:pPr>
      <w:r>
        <w:rPr/>
        <w:t>358.4(e) The transmission providers must file with the Commission and post on the OASIS or Internet website, current written procedures implementing the standards of conduct in such detail as will enable customers and the Commission to determine that the transmission provider is in compliance with the requirements of this section.</w:t>
      </w:r>
    </w:p>
    <w:p>
      <w:pPr>
        <w:pStyle w:val="Heading2"/>
        <w:ind w:hanging="0" w:start="0"/>
        <w:rPr/>
      </w:pPr>
      <w:r>
        <w:rPr/>
        <w:t>Discounts</w:t>
      </w:r>
    </w:p>
    <w:p>
      <w:pPr>
        <w:pStyle w:val="Normal"/>
        <w:rPr/>
      </w:pPr>
      <w:r>
        <w:rPr/>
      </w:r>
    </w:p>
    <w:p>
      <w:pPr>
        <w:pStyle w:val="Normal"/>
        <w:rPr/>
      </w:pPr>
      <w:r>
        <w:rPr/>
        <w:t>161.3(h)(1) if a pipeline offers a transportation discount to an affiliated marketer, or offers a transportation discount for a transaction in which and affiliated marketer is involved, the pipeline must make a comparable discount contemporaneously available to all similarly situated non-affiliated shippers.</w:t>
      </w:r>
    </w:p>
    <w:p>
      <w:pPr>
        <w:pStyle w:val="Normal"/>
        <w:rPr/>
      </w:pPr>
      <w:r>
        <w:rPr/>
      </w:r>
    </w:p>
    <w:p>
      <w:pPr>
        <w:pStyle w:val="Normal"/>
        <w:rPr/>
      </w:pPr>
      <w:r>
        <w:rPr/>
        <w:t>161.3(h)(2) Within 24 hours of the time at which gas first flows under a transportation transaction in which an affiliated marketer receives a discounted rate or a transportation transaction at a discounted rate in which an affiliated marketer is involved, the pipeline must post a notice on its Internet web site […], providing the name of the affiliate involved in the discounted transportation transaction, the rate charged, the maximum rate, the time period for which the discount applies, the quantity of gas scheduled to be moved, the delivery points under the transaction, any conditions or requirements applicable to the discount, and the procedures by which a non-affiliated shipper can request a comparable offer.  The posting must remain on the Internet web site for 30 days from the date of posting.  […]  Access to the information must be provided using the same protocols and procedures used for the pipeline’s Internet web site.</w:t>
      </w:r>
    </w:p>
    <w:p>
      <w:pPr>
        <w:pStyle w:val="Normal"/>
        <w:rPr/>
      </w:pPr>
      <w:r>
        <w:rPr/>
      </w:r>
    </w:p>
    <w:p>
      <w:pPr>
        <w:pStyle w:val="Normal"/>
        <w:rPr/>
      </w:pPr>
      <w:r>
        <w:rPr/>
        <w:t>358.5(d) Any offer of a discount for any transmission service made by the transmission provider must be posted on the OASIS or Internet website contemporaneously with the offer.  The posting must include:  the name of the customer involved in the discount and whether it is an affiliate or whether an affiliate is involved in the transaction, the rate offered; the maximum rate; the time period for which the discount would apply; the quantity of power or gas scheduled to be moved; the delivery points under the transaction; and any conditions or requirements applicable to the discount.  The posting must remain on the OASIS or Internet website for 60 days from the date of posting.</w:t>
      </w:r>
    </w:p>
    <w:p>
      <w:pPr>
        <w:pStyle w:val="Normal"/>
        <w:rPr/>
      </w:pPr>
      <w:r>
        <w:rPr/>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Marketing Affiliates – Comparison to 161/KIP</w:t>
    </w:r>
  </w:p>
  <w:p>
    <w:pPr>
      <w:pStyle w:val="Footer"/>
      <w:rPr>
        <w:sz w:val="16"/>
      </w:rPr>
    </w:pP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Style w:val="PageNumber"/>
      </w:rPr>
    </w:pPr>
    <w:r>
      <w:rPr/>
      <w:t xml:space="preserve">Comparison between Part 161 and 358/Page </w:t>
    </w:r>
    <w:r>
      <w:rPr>
        <w:rStyle w:val="PageNumber"/>
      </w:rPr>
      <w:fldChar w:fldCharType="begin"/>
    </w:r>
    <w:r>
      <w:rPr>
        <w:rStyle w:val="PageNumber"/>
      </w:rPr>
      <w:instrText xml:space="preserve"> NUMPAGES \* ARABIC </w:instrText>
    </w:r>
    <w:r>
      <w:rPr>
        <w:rStyle w:val="PageNumber"/>
      </w:rPr>
      <w:fldChar w:fldCharType="separate"/>
    </w:r>
    <w:r>
      <w:rPr>
        <w:rStyle w:val="PageNumber"/>
      </w:rPr>
      <w:t>2</w:t>
    </w:r>
    <w:r>
      <w:rPr>
        <w:rStyle w:val="PageNumber"/>
      </w:rPr>
      <w:fldChar w:fldCharType="end"/>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2001-10-04T10:42:00Z</dcterms:created>
  <dc:creator>kprizon</dc:creator>
  <dc:description/>
  <dc:language>en-CA</dc:language>
  <cp:lastModifiedBy>nbagot</cp:lastModifiedBy>
  <cp:lastPrinted>2001-10-01T13:48:00Z</cp:lastPrinted>
  <dcterms:modified xsi:type="dcterms:W3CDTF">2001-10-04T10:42:00Z</dcterms:modified>
  <cp:revision>2</cp:revision>
  <dc:subject/>
  <dc:title>Definitions:</dc:title>
</cp:coreProperties>
</file>