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sz w:val="16"/>
          <w:u w:val="none"/>
        </w:rPr>
      </w:pPr>
      <w:r>
        <w:rPr>
          <w:sz w:val="16"/>
          <w:u w:val="none"/>
        </w:rPr>
        <w:t>PRIVILEGED AND</w:t>
      </w:r>
    </w:p>
    <w:p>
      <w:pPr>
        <w:pStyle w:val="Heading"/>
        <w:jc w:val="end"/>
        <w:rPr>
          <w:sz w:val="16"/>
          <w:u w:val="none"/>
        </w:rPr>
      </w:pPr>
      <w:r>
        <w:rPr>
          <w:sz w:val="16"/>
          <w:u w:val="none"/>
        </w:rPr>
        <w:t>CONFIDENTIAL PURSUANT TO</w:t>
      </w:r>
    </w:p>
    <w:p>
      <w:pPr>
        <w:pStyle w:val="Heading"/>
        <w:jc w:val="end"/>
        <w:rPr>
          <w:sz w:val="16"/>
          <w:u w:val="none"/>
        </w:rPr>
      </w:pPr>
      <w:r>
        <w:rPr>
          <w:sz w:val="16"/>
          <w:u w:val="none"/>
        </w:rPr>
        <w:t>FERC RULE 606</w:t>
      </w:r>
    </w:p>
    <w:p>
      <w:pPr>
        <w:pStyle w:val="Heading"/>
        <w:jc w:val="end"/>
        <w:rPr>
          <w:u w:val="none"/>
        </w:rPr>
      </w:pPr>
      <w:r>
        <w:rPr>
          <w:sz w:val="16"/>
          <w:u w:val="none"/>
        </w:rPr>
        <w:t>Submitted to Judge McCartney on Sept. 5, 2001</w:t>
      </w:r>
    </w:p>
    <w:p>
      <w:pPr>
        <w:pStyle w:val="Heading"/>
        <w:rPr>
          <w:u w:val="none"/>
        </w:rPr>
      </w:pPr>
      <w:r>
        <w:rPr>
          <w:u w:val="none"/>
        </w:rPr>
      </w:r>
    </w:p>
    <w:p>
      <w:pPr>
        <w:pStyle w:val="Heading"/>
        <w:rPr/>
      </w:pPr>
      <w:r>
        <w:rPr>
          <w:b/>
          <w:bCs/>
        </w:rPr>
        <w:t>Market Sector</w:t>
      </w:r>
      <w:r>
        <w:rPr>
          <w:rStyle w:val="FootnoteCharacters"/>
          <w:rStyle w:val="FootnoteReference"/>
          <w:b/>
          <w:bCs/>
        </w:rPr>
        <w:footnoteReference w:id="2"/>
      </w:r>
      <w:r>
        <w:rPr>
          <w:b/>
          <w:bCs/>
        </w:rPr>
        <w:t xml:space="preserve"> Response to the Final Reports in Docket No. RT01-100</w:t>
      </w:r>
      <w:r>
        <w:rPr>
          <w:rStyle w:val="FootnoteCharacters"/>
          <w:rStyle w:val="FootnoteReference"/>
        </w:rPr>
        <w:footnoteReference w:id="3"/>
      </w:r>
    </w:p>
    <w:p>
      <w:pPr>
        <w:pStyle w:val="Normal"/>
        <w:jc w:val="center"/>
        <w:rPr>
          <w:sz w:val="26"/>
          <w:u w:val="single"/>
        </w:rPr>
      </w:pPr>
      <w:r>
        <w:rPr>
          <w:sz w:val="26"/>
          <w:u w:val="single"/>
        </w:rPr>
      </w:r>
    </w:p>
    <w:p>
      <w:pPr>
        <w:pStyle w:val="BodyText"/>
        <w:ind w:firstLine="720" w:end="0"/>
        <w:jc w:val="center"/>
        <w:rPr>
          <w:b/>
          <w:sz w:val="26"/>
          <w:u w:val="single"/>
        </w:rPr>
      </w:pPr>
      <w:r>
        <w:rPr>
          <w:b/>
          <w:sz w:val="26"/>
          <w:u w:val="single"/>
        </w:rPr>
        <w:t>PRELIMINARY STATEMENT</w:t>
      </w:r>
    </w:p>
    <w:p>
      <w:pPr>
        <w:pStyle w:val="BodyText"/>
        <w:tabs>
          <w:tab w:val="clear" w:pos="720"/>
          <w:tab w:val="left" w:pos="6255" w:leader="none"/>
        </w:tabs>
        <w:ind w:firstLine="720" w:end="0"/>
        <w:rPr>
          <w:sz w:val="26"/>
        </w:rPr>
      </w:pPr>
      <w:r>
        <w:rPr>
          <w:sz w:val="26"/>
        </w:rPr>
        <w:t xml:space="preserve">The majority of the Marketer Sector very strongly supports the Grid model (one marketer partially accepts the Grid model as presently proposed).  As a result of the mediation process, the Marketer Sector generally believes the Grid model has been substantially improved (particularly in the areas of Independence and Congestion Management) and will provide a sound basis upon which to build a single Southeastern RTO.  Some entities within the Marketer Sector have provided some specific recommendations that, if adopted, they believe would strengthen the Grid Governance structure. </w:t>
      </w:r>
    </w:p>
    <w:p>
      <w:pPr>
        <w:pStyle w:val="BodyText"/>
        <w:tabs>
          <w:tab w:val="clear" w:pos="720"/>
          <w:tab w:val="left" w:pos="6255" w:leader="none"/>
        </w:tabs>
        <w:spacing w:lineRule="auto" w:line="240"/>
        <w:ind w:firstLine="720" w:end="0"/>
        <w:jc w:val="center"/>
        <w:rPr>
          <w:b/>
          <w:bCs/>
          <w:sz w:val="26"/>
          <w:u w:val="single"/>
        </w:rPr>
      </w:pPr>
      <w:r>
        <w:rPr>
          <w:b/>
          <w:bCs/>
          <w:sz w:val="26"/>
          <w:u w:val="single"/>
        </w:rPr>
        <w:t>SPECIFIC COMMENTS ON RTO CHARACTERISTICS AND FUNCTIONS</w:t>
      </w:r>
    </w:p>
    <w:p>
      <w:pPr>
        <w:pStyle w:val="BodyText"/>
        <w:spacing w:lineRule="auto" w:line="240"/>
        <w:jc w:val="start"/>
        <w:rPr>
          <w:b/>
          <w:bCs/>
          <w:sz w:val="26"/>
          <w:u w:val="single"/>
        </w:rPr>
      </w:pPr>
      <w:r>
        <w:rPr>
          <w:b/>
          <w:bCs/>
          <w:sz w:val="26"/>
          <w:u w:val="single"/>
        </w:rPr>
      </w:r>
    </w:p>
    <w:p>
      <w:pPr>
        <w:pStyle w:val="BodyText"/>
        <w:rPr/>
      </w:pPr>
      <w:r>
        <w:rPr>
          <w:sz w:val="26"/>
        </w:rPr>
        <w:t xml:space="preserve">C1. </w:t>
      </w:r>
      <w:r>
        <w:rPr>
          <w:sz w:val="26"/>
          <w:u w:val="single"/>
        </w:rPr>
        <w:t>Independence</w:t>
      </w:r>
      <w:r>
        <w:rPr>
          <w:b/>
          <w:sz w:val="26"/>
          <w:u w:val="single"/>
        </w:rPr>
        <w:t>:</w:t>
      </w:r>
      <w:r>
        <w:rPr>
          <w:bCs/>
          <w:sz w:val="26"/>
        </w:rPr>
        <w:t xml:space="preserve">  </w:t>
      </w:r>
      <w:r>
        <w:rPr>
          <w:sz w:val="26"/>
        </w:rPr>
        <w:t>There is strong support in the Marketer Sector for the Grids proposal with respect to Independence.  Only one participant in the Marketer Sector initially expressed support for the SeTrans model (and that participant now partially accepts the Grid model).  However, as noted below, some Marketers express concerns with respect to the Independence of the current Grid model and have proposed some specific modifications to address these concerns.</w:t>
      </w:r>
    </w:p>
    <w:p>
      <w:pPr>
        <w:pStyle w:val="Style13"/>
        <w:spacing w:lineRule="auto" w:line="480"/>
        <w:ind w:firstLine="720" w:end="0"/>
        <w:jc w:val="both"/>
        <w:rPr/>
      </w:pPr>
      <w:r>
        <w:rPr>
          <w:sz w:val="26"/>
        </w:rPr>
        <w:t>Most of the Marketer Sector believes that divestiture of transmission assets into a Transco with an independent Board and strong Stakeholder Advisory Committee (SAC) is key to ensuring non-discriminatory access to the transmission system and comparable treatment for all market participants.  Most of the Marketer Sector believes that the Grid model is best structured to achieve this goal.</w:t>
      </w:r>
      <w:r>
        <w:rPr>
          <w:rStyle w:val="FootnoteCharacters"/>
          <w:rStyle w:val="FootnoteReference"/>
          <w:sz w:val="26"/>
        </w:rPr>
        <w:footnoteReference w:id="4"/>
      </w:r>
      <w:r>
        <w:rPr>
          <w:sz w:val="26"/>
        </w:rPr>
        <w:t xml:space="preserve">  Another advantage to the Grid model is that the SAC selects the Independent Market Administrator (IMA).</w:t>
      </w:r>
    </w:p>
    <w:p>
      <w:pPr>
        <w:pStyle w:val="Style13"/>
        <w:spacing w:lineRule="auto" w:line="480"/>
        <w:ind w:firstLine="720" w:end="0"/>
        <w:jc w:val="both"/>
        <w:rPr>
          <w:sz w:val="26"/>
        </w:rPr>
      </w:pPr>
      <w:r>
        <w:rPr>
          <w:sz w:val="26"/>
        </w:rPr>
        <w:t>In the final position paper submitted by the Grid, they have changed the process for the Transco to reclaim functions from the IMA to require that the Transco make a filing under Section 203 and/or 205 of the Federal Power Act, whichever is applicable to the change being made.  In addition, they have clarified that an Independent Transmission Company (ITC) can be a non-profit company that public power entities (or any other transmission owner) can create, and that such an entity can either own divested transmission facilities or exercise operational authority over transmission facilities pursuant to transmission operating agreements (TOAs).  Finally, they have changed the SAC composition to make sure that there is at least one representative from the end-user sector.  Most Marketers believe that these modifications strengthen the Grid proposal.</w:t>
      </w:r>
    </w:p>
    <w:p>
      <w:pPr>
        <w:pStyle w:val="BodyTextIndent2"/>
        <w:jc w:val="both"/>
        <w:rPr>
          <w:szCs w:val="24"/>
        </w:rPr>
      </w:pPr>
      <w:r>
        <w:rPr/>
        <w:t>Notwithstanding, one Marketer does express concern with the Grid model for the following reasons:</w:t>
      </w:r>
    </w:p>
    <w:p>
      <w:pPr>
        <w:pStyle w:val="Normal"/>
        <w:spacing w:lineRule="auto" w:line="480"/>
        <w:ind w:firstLine="720" w:end="0"/>
        <w:jc w:val="both"/>
        <w:rPr>
          <w:sz w:val="26"/>
        </w:rPr>
      </w:pPr>
      <w:r>
        <w:rPr>
          <w:rFonts w:cs="Arial"/>
          <w:sz w:val="26"/>
        </w:rPr>
        <w:t>1.  In Order No. 2000 the Commission determined that the RTO must have the operational authority for all transmission facilities under its control and also must be the security coordinator for its region.  Under the Grid proposal, the Transco is the SPG RTO and, yet, the operational and security coordinator authority is vested in the IMA.  Based on Order No. 2000, it appears that the IMA should be the RTO.</w:t>
      </w:r>
    </w:p>
    <w:p>
      <w:pPr>
        <w:pStyle w:val="Normal"/>
        <w:spacing w:lineRule="auto" w:line="480"/>
        <w:ind w:firstLine="720" w:end="0"/>
        <w:jc w:val="both"/>
        <w:rPr>
          <w:sz w:val="26"/>
        </w:rPr>
      </w:pPr>
      <w:r>
        <w:rPr>
          <w:rFonts w:cs="Arial"/>
          <w:sz w:val="26"/>
        </w:rPr>
        <w:t>2.  The IMA is not completely independent from Transco (asset ownership) control as currently structured under the Grid model.  Some examples include:  (i) the IMA candidates are selected by the Transco; (ii) the Transco is authorized to delegate via contract "certain operating responsibilities" to the IMA; (iii) the Transco has the authority to reclaim functions from the IMA after five years or sooner in the event of exigent circumstances; and (iv) the Independent Board is selected by a Board Selection Committee that is comprised of 7 transmission-owning members and 6 members from the non-transmission owning sectors thereby ensuring dominance by the transmission owners.</w:t>
      </w:r>
    </w:p>
    <w:p>
      <w:pPr>
        <w:pStyle w:val="Normal"/>
        <w:spacing w:lineRule="auto" w:line="480"/>
        <w:ind w:firstLine="720" w:end="0"/>
        <w:jc w:val="both"/>
        <w:rPr>
          <w:sz w:val="26"/>
        </w:rPr>
      </w:pPr>
      <w:r>
        <w:rPr>
          <w:rFonts w:cs="Arial"/>
          <w:sz w:val="26"/>
        </w:rPr>
        <w:t>3.  While the SAC is authorized to provide advice to the Transco and the IMA, the SAC is weighted in favor of the IOU sector -- once again providing for IOU sector voting dominance.</w:t>
      </w:r>
    </w:p>
    <w:p>
      <w:pPr>
        <w:pStyle w:val="Normal"/>
        <w:spacing w:lineRule="auto" w:line="480"/>
        <w:ind w:firstLine="720" w:end="0"/>
        <w:jc w:val="both"/>
        <w:rPr>
          <w:sz w:val="26"/>
        </w:rPr>
      </w:pPr>
      <w:r>
        <w:rPr>
          <w:sz w:val="26"/>
        </w:rPr>
        <w:t>In order to insure compliance with Order No. 2000, and establish a truly independent and non-discriminatory RTO with no commercial interest in market outcomes, some entities within the Marketer Sector recommend specific modifications that they believe will strengthen the Grids model.  These modifications include the following:</w:t>
      </w:r>
    </w:p>
    <w:p>
      <w:pPr>
        <w:pStyle w:val="Normal"/>
        <w:rPr>
          <w:sz w:val="26"/>
        </w:rPr>
      </w:pPr>
      <w:r>
        <w:rPr>
          <w:sz w:val="26"/>
        </w:rPr>
      </w:r>
    </w:p>
    <w:p>
      <w:pPr>
        <w:pStyle w:val="BodyText"/>
        <w:numPr>
          <w:ilvl w:val="0"/>
          <w:numId w:val="2"/>
        </w:numPr>
        <w:jc w:val="start"/>
        <w:rPr>
          <w:b/>
          <w:sz w:val="26"/>
        </w:rPr>
      </w:pPr>
      <w:r>
        <w:rPr>
          <w:rFonts w:cs="Arial"/>
          <w:sz w:val="26"/>
        </w:rPr>
        <w:t>Augment the IMA with its own independent board of directors;</w:t>
      </w:r>
    </w:p>
    <w:p>
      <w:pPr>
        <w:pStyle w:val="BodyText"/>
        <w:numPr>
          <w:ilvl w:val="0"/>
          <w:numId w:val="2"/>
        </w:numPr>
        <w:jc w:val="start"/>
        <w:rPr>
          <w:b/>
          <w:sz w:val="26"/>
        </w:rPr>
      </w:pPr>
      <w:r>
        <w:rPr>
          <w:sz w:val="26"/>
        </w:rPr>
        <w:t>Strengthen the role of the IMA by transferring all RTO functions to the IMA with the exception of rate design;</w:t>
      </w:r>
    </w:p>
    <w:p>
      <w:pPr>
        <w:pStyle w:val="BodyText"/>
        <w:numPr>
          <w:ilvl w:val="0"/>
          <w:numId w:val="2"/>
        </w:numPr>
        <w:jc w:val="start"/>
        <w:rPr>
          <w:b/>
          <w:sz w:val="26"/>
        </w:rPr>
      </w:pPr>
      <w:r>
        <w:rPr>
          <w:sz w:val="26"/>
        </w:rPr>
        <w:t>Modify the composition of the Board Selection Committee by replacing one member of the divesting IOUs sector and adding one additional representative to one of the non-transmission owning sectors; and</w:t>
      </w:r>
    </w:p>
    <w:p>
      <w:pPr>
        <w:pStyle w:val="BodyText"/>
        <w:numPr>
          <w:ilvl w:val="0"/>
          <w:numId w:val="2"/>
        </w:numPr>
        <w:jc w:val="start"/>
        <w:rPr/>
      </w:pPr>
      <w:r>
        <w:rPr>
          <w:sz w:val="26"/>
        </w:rPr>
        <w:t>Modify the SAC composition by replacing one representative from the transmission-owning sector and adding one additional representative to one of the non-transmission owning sectors.</w:t>
      </w:r>
    </w:p>
    <w:p>
      <w:pPr>
        <w:pStyle w:val="BodyText"/>
        <w:tabs>
          <w:tab w:val="clear" w:pos="720"/>
          <w:tab w:val="left" w:pos="270" w:leader="none"/>
        </w:tabs>
        <w:ind w:start="-360" w:end="0"/>
        <w:rPr>
          <w:sz w:val="22"/>
        </w:rPr>
      </w:pPr>
      <w:r>
        <w:rPr>
          <w:bCs/>
          <w:sz w:val="26"/>
        </w:rPr>
        <w:t xml:space="preserve">C2. </w:t>
      </w:r>
      <w:r>
        <w:rPr>
          <w:bCs/>
          <w:sz w:val="26"/>
          <w:u w:val="single"/>
        </w:rPr>
        <w:t>Scope and Regional Configuration:</w:t>
      </w:r>
      <w:r>
        <w:rPr>
          <w:b/>
          <w:sz w:val="26"/>
        </w:rPr>
        <w:t xml:space="preserve">  </w:t>
      </w:r>
      <w:r>
        <w:rPr>
          <w:bCs/>
          <w:sz w:val="26"/>
        </w:rPr>
        <w:t>It is clear that the Commission envisions one RTO for the Southeast region.  The Marketer Sector generally prefers the Grid model for the reason that IOUs over a large scope are more likely to structurally separate through divestiture.  One marketer finds either model acceptable as long as it encompasses substantially all types of entities in the Southeast.</w:t>
      </w:r>
    </w:p>
    <w:p>
      <w:pPr>
        <w:pStyle w:val="BodyTextIndent"/>
        <w:ind w:hanging="0" w:end="0"/>
        <w:rPr/>
      </w:pPr>
      <w:r>
        <w:rPr/>
        <w:t xml:space="preserve">C3. </w:t>
      </w:r>
      <w:r>
        <w:rPr>
          <w:u w:val="single"/>
        </w:rPr>
        <w:t>Operational Authority:</w:t>
      </w:r>
      <w:r>
        <w:rPr/>
        <w:t xml:space="preserve">  The Marketer Sector generally agrees with the Grid model (One prefers the SE Trans model, unless the recommendations outlined herein are implemented in the Grid model (particularly under governance)).</w:t>
      </w:r>
      <w:r>
        <w:rPr>
          <w:rStyle w:val="FootnoteCharacters"/>
          <w:rStyle w:val="FootnoteReference"/>
          <w:b/>
          <w:bCs/>
        </w:rPr>
        <w:footnoteReference w:id="5"/>
      </w:r>
      <w:r>
        <w:rPr/>
        <w:t xml:space="preserve">  The RTO must be independent and have the authority for control; therefore, Marketers fully support the Grids’ idea to consider collapsing the control areas in order to establish a clear hierarchical separation to the RTO.  In the Grid model, Control area operators will continue to physically control the system, but they will do so pursuant to operating procedures approved by the IMA.  While the SPG RTO Operating Protocol Summary (Op. Prot.) generally provides many of the details of this separation, several modifications are needed to fully eliminate the discriminatory aspects of control areas.</w:t>
      </w:r>
      <w:r>
        <w:rPr>
          <w:rStyle w:val="FootnoteCharacters"/>
          <w:rStyle w:val="FootnoteReference"/>
        </w:rPr>
        <w:footnoteReference w:id="6"/>
      </w:r>
      <w:r>
        <w:rPr/>
        <w:t xml:space="preserve">  </w:t>
      </w:r>
    </w:p>
    <w:p>
      <w:pPr>
        <w:pStyle w:val="BodyTextIndent"/>
        <w:rPr/>
      </w:pPr>
      <w:r>
        <w:rPr/>
        <w:t>Finally, Marketers are concerned that the RTO should not favor any one participant, or a particular generation/transmission solution, to reliably operate the transmission system in real time.  The adoption of the Entergy/LMP/financial rights model (with the transparent real time spot energy market where generators get dispatched and paid based on their offer curve) greatly assists in eliminating such discrimination.</w:t>
      </w:r>
    </w:p>
    <w:p>
      <w:pPr>
        <w:pStyle w:val="BodyTextIndent"/>
        <w:ind w:hanging="0" w:end="0"/>
        <w:rPr/>
      </w:pPr>
      <w:r>
        <w:rPr/>
        <w:t xml:space="preserve">C4. </w:t>
      </w:r>
      <w:r>
        <w:rPr>
          <w:u w:val="single"/>
        </w:rPr>
        <w:t>Short-term Reliability:</w:t>
      </w:r>
      <w:r>
        <w:rPr/>
        <w:t xml:space="preserve">  The Marketer Sector supports the Grid proposal for the LMP/Financial Rights model.</w:t>
      </w:r>
      <w:r>
        <w:rPr>
          <w:b/>
          <w:bCs/>
        </w:rPr>
        <w:t xml:space="preserve">  </w:t>
      </w:r>
      <w:r>
        <w:rPr/>
        <w:t>The RTO must have full operational authority over all transmission assets and resources offered to it and manage reliability in real time.  In order to facilitate this, Marketers fully support the use of the centrally coordinated Real Time Spot energy market to support dispatch.  Marketers agree that this market should be run by the IMA and be based on a single optimization program that uses collected bids.  This coordinated dispatch function would also manage congestion and provide balancing energy service (Grid Operating Protocol at 5).  An RTO-conducted spot energy market is a natural concomitant of the RTO’s balancing and generation redispatch functions, which are universally recognized as being necessary for reliable RTO operations.</w:t>
      </w:r>
    </w:p>
    <w:p>
      <w:pPr>
        <w:pStyle w:val="BodyTextIndent"/>
        <w:rPr/>
      </w:pPr>
      <w:r>
        <w:rPr/>
        <w:t>In contrast, the SeTrans proposal for the physical rights model allows lost efficiencies if the nodal price signals (obtained by running the unconstrained schedule) indicate that it would be more economical for a particular generator or load to increase or decrease output, but it cannot as it does not have the required physical transmission right.</w:t>
      </w:r>
    </w:p>
    <w:p>
      <w:pPr>
        <w:pStyle w:val="Heading2"/>
        <w:spacing w:lineRule="auto" w:line="480"/>
        <w:ind w:hanging="0" w:start="-360" w:end="0"/>
        <w:jc w:val="both"/>
        <w:rPr/>
      </w:pPr>
      <w:r>
        <w:rPr>
          <w:b w:val="false"/>
          <w:bCs w:val="false"/>
          <w:u w:val="none"/>
        </w:rPr>
        <w:t xml:space="preserve">F1. </w:t>
      </w:r>
      <w:r>
        <w:rPr>
          <w:b w:val="false"/>
          <w:bCs w:val="false"/>
        </w:rPr>
        <w:t>Tariff Administration and Design:</w:t>
      </w:r>
      <w:r>
        <w:rPr>
          <w:u w:val="none"/>
        </w:rPr>
        <w:t xml:space="preserve">  </w:t>
      </w:r>
      <w:r>
        <w:rPr>
          <w:b w:val="false"/>
          <w:bCs w:val="false"/>
          <w:u w:val="none"/>
        </w:rPr>
        <w:t>All</w:t>
      </w:r>
      <w:r>
        <w:rPr>
          <w:b w:val="false"/>
          <w:bCs w:val="false"/>
          <w:sz w:val="26"/>
          <w:u w:val="none"/>
        </w:rPr>
        <w:t xml:space="preserve"> Marketers were generally, and in some cases strongly, supportive of the Grid proposal for all load to take service under the IMA administered RTO Open Access Transmission Tariff (“OATT”).  The Marketers were also supportive of the conversion of existing transmission agreements (“ETA”) to service under the RTO OATT.  It is believed that the validity of a viable Southeastern power market is accomplished where all contracts are subject to the same rates, terms and conditions as specified in the RTO OATT.</w:t>
      </w:r>
    </w:p>
    <w:p>
      <w:pPr>
        <w:pStyle w:val="BodyTextIndent3"/>
        <w:rPr/>
      </w:pPr>
      <w:r>
        <w:rPr/>
        <w:tab/>
        <w:t>One Marketer recommended that, while the Grid proposal to roll in rates for new transmission appears workable for the initial operation of the RTO, the Grid explore new innovative methods of recovering the costs of new transmission as access to real time pricing information increases, e.g., use of incentive returns for new investment in a particular zone.</w:t>
      </w:r>
    </w:p>
    <w:p>
      <w:pPr>
        <w:pStyle w:val="BodyTextIndent"/>
        <w:ind w:hanging="0" w:end="0"/>
        <w:rPr/>
      </w:pPr>
      <w:r>
        <w:rPr/>
        <w:t xml:space="preserve">F2. </w:t>
      </w:r>
      <w:r>
        <w:rPr>
          <w:u w:val="single"/>
        </w:rPr>
        <w:t>Congestion Management:</w:t>
      </w:r>
      <w:r>
        <w:rPr/>
        <w:t xml:space="preserve">  The Marketer Sector strongly supports the Grid LMP/Financial Rights model.  The congestion management model is a critical component of Order No. 2000.  The use of the LMP/Financial Rights model that facilitates congestion management in real time will realize the Commission’s Order No. 2000 directives that “ensure truly non-discriminatory transmission service”.</w:t>
      </w:r>
      <w:r>
        <w:rPr>
          <w:rStyle w:val="FootnoteCharacters"/>
          <w:rStyle w:val="FootnoteReference"/>
        </w:rPr>
        <w:footnoteReference w:id="7"/>
      </w:r>
      <w:r>
        <w:rPr/>
        <w:t xml:space="preserve">  It also supports and will promote many of the other characteristics and functions, including Independence, Operational Authority, Short Term Reliability, Ancillary Services, Interregional Coordination, and Planning and Expansion.  Perpetuation of current discriminatory practices will continue without the open and transparent real time spot market that is accessible to all market participants – not just incumbent control areas.</w:t>
      </w:r>
    </w:p>
    <w:p>
      <w:pPr>
        <w:pStyle w:val="BodyTextIndent"/>
        <w:ind w:firstLine="360" w:end="0"/>
        <w:rPr/>
      </w:pPr>
      <w:r>
        <w:rPr/>
        <w:t>For the market “that will support the billions of dollars of capital investment in generation and demand side projects necessary to support a robust, reliable and competitive electricity marketplace”</w:t>
      </w:r>
      <w:r>
        <w:rPr>
          <w:rStyle w:val="FootnoteCharacters"/>
          <w:rStyle w:val="FootnoteReference"/>
        </w:rPr>
        <w:footnoteReference w:id="8"/>
      </w:r>
      <w:r>
        <w:rPr/>
        <w:t xml:space="preserve"> to be established, participants need flexibility.  For example, participants may choose to buy or sell energy to the spot market, (or alternatively, decide to interrupt, or sell distributed or on-site generation, etc.), enter into bilateral contracts, buy-through congestion; and self-provide.  Moreover, a robust spot market (without a day ahead balanced schedule provision with penalties as found in the SeTrans model) provides market transparency with visible real time pricing upon which to base an active market in providing hedging tools with a wide variety of energy products for utilities and end users.</w:t>
      </w:r>
    </w:p>
    <w:p>
      <w:pPr>
        <w:pStyle w:val="BodyTextIndent"/>
        <w:ind w:firstLine="360" w:end="0"/>
        <w:rPr/>
      </w:pPr>
      <w:r>
        <w:rPr/>
        <w:t>Accurate real time nodal prices (that are set by the participation of all market participants) will provide the essential price signals to best determine the location and necessity of new investment in generation, transmission, and demand side management products, as well as new innovation, which facilitates the Planning and Expansion Function 7.  The LMP/Financial Rights model also provides the most flexibility to participants for development of a variety of forward market instruments to manage real time price risk (for example, options/obligations/FTRs/Flowgates, etc.).  In addition, the LMP/Financial Rights model is consistent with the Commission’s directive to look to best practices in other regions.</w:t>
      </w:r>
    </w:p>
    <w:p>
      <w:pPr>
        <w:pStyle w:val="BodyTextIndent"/>
        <w:ind w:firstLine="360" w:end="0"/>
        <w:rPr/>
      </w:pPr>
      <w:r>
        <w:rPr/>
        <w:t>While Marketers fully support the basic LMP/Financial Rights model, two elements are now proposed that warrant further mediated discussion:  (1) the balanced resource requirement (and more fully the day ahead process) and (2) the allocation of transmission rights without an auction.  The Grid proposal does appropriately recognize that these are issues that warrant further discussion in a mediation-type process.  The mediation participants spent approximately a week working on congestion management, with a result that most participants favored the LMP/Financial Rights model (with many initially favoring the physical rights model).  Because the participants did not have adequate time to fully discuss the day ahead scheduling process (including the balanced resource issue) and allocation/auction, Marketers suggest that further mediated discussions would be fruitful toward a workable solution for the Southeast.</w:t>
      </w:r>
      <w:r>
        <w:rPr>
          <w:rStyle w:val="FootnoteCharacters"/>
          <w:rStyle w:val="FootnoteReference"/>
        </w:rPr>
        <w:footnoteReference w:id="9"/>
      </w:r>
    </w:p>
    <w:p>
      <w:pPr>
        <w:pStyle w:val="BodyTextIndent"/>
        <w:ind w:firstLine="360" w:end="0"/>
        <w:rPr/>
      </w:pPr>
      <w:r>
        <w:rPr/>
        <w:t>First, Marketers are concerned that the “Balanced Resource” requirement, as drafted, could be interpreted to require day ahead balanced schedules.</w:t>
      </w:r>
      <w:r>
        <w:rPr>
          <w:rStyle w:val="FootnoteCharacters"/>
          <w:rStyle w:val="FootnoteReference"/>
        </w:rPr>
        <w:footnoteReference w:id="10"/>
      </w:r>
      <w:r>
        <w:rPr/>
        <w:t xml:space="preserve">  The stated purpose of “resources”, “icap”, “reserves” (or any of the other names/procedures used across the country) is security – to ensure that there are enough resources built on a forward time frame that can be called upon to run in real time if necessary.</w:t>
      </w:r>
      <w:r>
        <w:rPr>
          <w:rStyle w:val="FootnoteCharacters"/>
          <w:rStyle w:val="FootnoteReference"/>
        </w:rPr>
        <w:footnoteReference w:id="11"/>
      </w:r>
      <w:r>
        <w:rPr/>
        <w:t xml:space="preserve">  Some of these markets, such as PJM, include a day ahead reliability assessment, but do not include a day ahead balanced schedule requirement.</w:t>
      </w:r>
      <w:r>
        <w:rPr>
          <w:rStyle w:val="FootnoteCharacters"/>
          <w:rStyle w:val="FootnoteReference"/>
        </w:rPr>
        <w:footnoteReference w:id="12"/>
      </w:r>
      <w:r>
        <w:rPr/>
        <w:t xml:space="preserve">  A workable solution should be able to be reached with some further discussion among the participants.</w:t>
      </w:r>
    </w:p>
    <w:p>
      <w:pPr>
        <w:pStyle w:val="BodyTextIndent"/>
        <w:ind w:firstLine="360" w:end="0"/>
        <w:rPr/>
      </w:pPr>
      <w:r>
        <w:rPr/>
        <w:t>Second, we agree that “allocation” must be dealt with; however, there are two ways to think of allocation.  Participants (including end users) can be allocated financial transmission rights instruments (as proposed by the Grid) or allocated the cash proceeds that result from auctioning the financial transmission rights instrument.  Marketers prefer allocating the cash proceeds because this provides a method to determine the market value of the instrument.  If the instruments themselves are allocated, there is no way for those who receive them to know whether they are truly valuable or not.</w:t>
      </w:r>
      <w:r>
        <w:rPr>
          <w:rStyle w:val="FootnoteCharacters"/>
          <w:rStyle w:val="FootnoteReference"/>
        </w:rPr>
        <w:footnoteReference w:id="13"/>
      </w:r>
    </w:p>
    <w:p>
      <w:pPr>
        <w:pStyle w:val="BodyTextIndent"/>
        <w:ind w:firstLine="360" w:end="0"/>
        <w:rPr/>
      </w:pPr>
      <w:r>
        <w:rPr/>
        <w:t>Because of the importance of these two issues and the variety of ways to address them, it is important for the Southeast to fully discuss the benefits and negatives of the various proposals before finalizing a procedure.</w:t>
      </w:r>
    </w:p>
    <w:p>
      <w:pPr>
        <w:pStyle w:val="Normal"/>
        <w:spacing w:lineRule="auto" w:line="480"/>
        <w:ind w:start="-360" w:end="0"/>
        <w:jc w:val="both"/>
        <w:rPr/>
      </w:pPr>
      <w:r>
        <w:rPr/>
        <w:t xml:space="preserve">F3. </w:t>
      </w:r>
      <w:r>
        <w:rPr>
          <w:sz w:val="26"/>
          <w:u w:val="single"/>
        </w:rPr>
        <w:t>Parallel Path Flow:</w:t>
      </w:r>
      <w:r>
        <w:rPr>
          <w:sz w:val="26"/>
        </w:rPr>
        <w:t xml:space="preserve">  All Marketers agree that it is appropriate to authorize the RTO with the task of developing specific parallel path flow procedures in the future.  However, the Marketers concur that the Grid’s proposed FCH/LMP Financial Rights congestion management model will help to minimize inter-RTO parallel path problems and provide a solid foundation upon which to develop and implement procedures to address parallel path flow issues within the Southeast and its neighboring regions.</w:t>
      </w:r>
    </w:p>
    <w:p>
      <w:pPr>
        <w:pStyle w:val="BodyTextIndent"/>
        <w:ind w:hanging="0" w:end="0"/>
        <w:rPr/>
      </w:pPr>
      <w:r>
        <w:rPr/>
        <w:t xml:space="preserve">F4. </w:t>
      </w:r>
      <w:r>
        <w:rPr>
          <w:u w:val="single"/>
        </w:rPr>
        <w:t>Ancillary Services:</w:t>
      </w:r>
      <w:r>
        <w:rPr/>
        <w:t xml:space="preserve">  The Marketer Sector generally prefers the Grid model (One prefers the SE Trans Model) because it uses nodal pricing for congestion and imbalance.  While the Grid model does not initially use a market-based approach for ancillaries, use of this type of LMP/Financial Rights model should facilitate establishment of a market for ancillary services.  Such an ancillary market is necessary in order to provide numerous services to customers located in another party’s control area (including wholesale customers, such as municipals and coops.)  For example, the ability of energy and service providers, such as marketers, IPPs, and utilities, to compete to serve these entities is hindered when the control area controls the ancillary services.</w:t>
      </w:r>
    </w:p>
    <w:p>
      <w:pPr>
        <w:pStyle w:val="Normal"/>
        <w:spacing w:lineRule="auto" w:line="480"/>
        <w:ind w:start="-360" w:end="0"/>
        <w:jc w:val="both"/>
        <w:rPr/>
      </w:pPr>
      <w:r>
        <w:rPr/>
        <w:t xml:space="preserve">F5. </w:t>
      </w:r>
      <w:r>
        <w:rPr>
          <w:sz w:val="26"/>
          <w:u w:val="single"/>
        </w:rPr>
        <w:t>OASIS, Total Transfer Capability (“TTC”) and Available Transfer Capability (“ATC”):</w:t>
      </w:r>
      <w:r>
        <w:rPr>
          <w:sz w:val="26"/>
        </w:rPr>
        <w:t xml:space="preserve">  The Marketers strongly support the Grid proposal of placing responsibility for the OASIS administration and calculation of ATCs and TTCs as described in the Operating Protocol with the IMA, provided the IMA is truly independent. </w:t>
      </w:r>
    </w:p>
    <w:p>
      <w:pPr>
        <w:pStyle w:val="BodyText"/>
        <w:tabs>
          <w:tab w:val="clear" w:pos="720"/>
          <w:tab w:val="left" w:pos="1710" w:leader="none"/>
        </w:tabs>
        <w:ind w:start="-360" w:end="0"/>
        <w:rPr/>
      </w:pPr>
      <w:r>
        <w:rPr>
          <w:bCs/>
          <w:sz w:val="26"/>
        </w:rPr>
        <w:t xml:space="preserve">F6. </w:t>
      </w:r>
      <w:r>
        <w:rPr>
          <w:bCs/>
          <w:sz w:val="26"/>
          <w:u w:val="single"/>
        </w:rPr>
        <w:t>Market Monitoring (MM):</w:t>
      </w:r>
      <w:r>
        <w:rPr>
          <w:sz w:val="26"/>
        </w:rPr>
        <w:t xml:space="preserve">  The Marketer Sector generally supports the Grid proposal (with only one exception).  Marketers do not support allowing the MM to impose mitigation measures, unless it is clarified that such mitigation measures can only be imposed after approval by the Commission.</w:t>
      </w:r>
    </w:p>
    <w:p>
      <w:pPr>
        <w:pStyle w:val="BodyText"/>
        <w:tabs>
          <w:tab w:val="clear" w:pos="720"/>
          <w:tab w:val="left" w:pos="1710" w:leader="none"/>
        </w:tabs>
        <w:ind w:start="-360" w:end="0"/>
        <w:rPr/>
      </w:pPr>
      <w:r>
        <w:rPr>
          <w:bCs/>
          <w:sz w:val="26"/>
        </w:rPr>
        <w:t xml:space="preserve">F7. </w:t>
      </w:r>
      <w:r>
        <w:rPr>
          <w:bCs/>
          <w:sz w:val="26"/>
          <w:u w:val="single"/>
        </w:rPr>
        <w:t>Planning &amp; Expansion:</w:t>
      </w:r>
      <w:r>
        <w:rPr>
          <w:sz w:val="26"/>
        </w:rPr>
        <w:t xml:space="preserve">  The Marketer Sector generally prefers the Grid model.  One prefers the SeTrans model.  In general, the Marketer Sector believes that Planning and Expansion will be facilitated to the extent that the Southeast RTO adopts a market design similar to neighboring RTOs (the FCH/LMP Financial Rights model.)  In the Grid final position paper, the Grid plan proponents have embraced the FCH/LMP congestion management methodology as the single platform on which to design the Southeast RTO markets --- further enhancing support for the Grid model among the Marketer Sector.</w:t>
      </w:r>
    </w:p>
    <w:p>
      <w:pPr>
        <w:pStyle w:val="BodyTextIndent"/>
        <w:ind w:hanging="0" w:end="0"/>
        <w:rPr/>
      </w:pPr>
      <w:r>
        <w:rPr>
          <w:b/>
        </w:rPr>
        <w:tab/>
      </w:r>
      <w:r>
        <w:rPr>
          <w:bCs/>
        </w:rPr>
        <w:t>Another positive aspect of the Grid model is the provision requiring the Transco to consider market solutions, including any proposed merchant or participant funded expansion projects.</w:t>
      </w:r>
      <w:r>
        <w:rPr/>
        <w:t xml:space="preserve">  Some Marketers believe that the Grid model would be improved with the ultimate planning process residing with the IMA, rather than the Transco, to assure that the planning decisions are made by an entity with no commercial interest in the outcome.  If the planning process remains with the Transco, then a clearer protocol should be developed to allow for meaningful and substantive input from the IMA and SAC.</w:t>
      </w:r>
    </w:p>
    <w:p>
      <w:pPr>
        <w:pStyle w:val="Normal"/>
        <w:spacing w:lineRule="auto" w:line="480"/>
        <w:ind w:start="-360" w:end="0"/>
        <w:jc w:val="both"/>
        <w:rPr/>
      </w:pPr>
      <w:r>
        <w:rPr>
          <w:sz w:val="26"/>
        </w:rPr>
        <w:t xml:space="preserve">F8. </w:t>
      </w:r>
      <w:r>
        <w:rPr>
          <w:sz w:val="26"/>
          <w:u w:val="single"/>
        </w:rPr>
        <w:t>Interregional Coordination:</w:t>
      </w:r>
      <w:r>
        <w:rPr>
          <w:sz w:val="26"/>
        </w:rPr>
        <w:t xml:space="preserve">  Recognizing that inconsistency among markets will only lead to the creation of seams issues, the Marketers strongly support adoption of the Grid proposed FCH/LMP Financial Rights congestion management model as a means of minimizing interregional coordination problems.  Also, the Marketers urge the Commission to continue its Interregional Coordination initiative, which it launched earlier this year in the Commission’s technical conferences. </w:t>
      </w:r>
    </w:p>
    <w:sectPr>
      <w:footerReference w:type="default" r:id="rId2"/>
      <w:footnotePr>
        <w:numFmt w:val="decimal"/>
      </w:footnotePr>
      <w:type w:val="nextPage"/>
      <w:pgSz w:w="12240" w:h="15840"/>
      <w:pgMar w:left="1800" w:right="180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t>Includes Constellation, Enron, Morgan Stanley, ONEOK, PSEG, Tenaska, and Williams.</w:t>
      </w:r>
    </w:p>
  </w:footnote>
  <w:footnote w:id="3">
    <w:p>
      <w:pPr>
        <w:pStyle w:val="FootnoteText"/>
        <w:rPr/>
      </w:pPr>
      <w:r>
        <w:rPr>
          <w:rStyle w:val="FootnoteCharacters"/>
        </w:rPr>
        <w:footnoteRef/>
      </w:r>
      <w:r>
        <w:rPr/>
        <w:t xml:space="preserve"> </w:t>
      </w:r>
      <w:r>
        <w:rPr/>
        <w:tab/>
        <w:t>Participants in the market sector reserve their rights to further consider and review the matters set forth in both models.</w:t>
      </w:r>
    </w:p>
  </w:footnote>
  <w:footnote w:id="4">
    <w:p>
      <w:pPr>
        <w:pStyle w:val="FootnoteText"/>
        <w:rPr/>
      </w:pPr>
      <w:r>
        <w:rPr>
          <w:rStyle w:val="FootnoteCharacters"/>
        </w:rPr>
        <w:footnoteRef/>
      </w:r>
      <w:r>
        <w:rPr/>
        <w:t xml:space="preserve"> </w:t>
      </w:r>
      <w:r>
        <w:rPr/>
        <w:tab/>
        <w:t>Some modifications may need to be added pre-divestiture to the Transco to the extent that the independent Transco has certain functions and responsibilities.</w:t>
      </w:r>
    </w:p>
  </w:footnote>
  <w:footnote w:id="5">
    <w:p>
      <w:pPr>
        <w:pStyle w:val="FootnoteText"/>
        <w:rPr/>
      </w:pPr>
      <w:r>
        <w:rPr>
          <w:rStyle w:val="FootnoteCharacters"/>
        </w:rPr>
        <w:footnoteRef/>
      </w:r>
      <w:r>
        <w:rPr/>
        <w:t xml:space="preserve"> </w:t>
      </w:r>
      <w:r>
        <w:rPr/>
        <w:tab/>
        <w:t>Marketers oppose the SE Tran model’s requirement for day ahead balanced schedules and financial penalty for imbalances.  There is no empirical evidence that such requirements improve the reliability of the transmission grid (conversely, the PJM market design that allows unbalanced schedules is the only market that has reduced the number of TLR events in order to maintain reliability).</w:t>
      </w:r>
    </w:p>
  </w:footnote>
  <w:footnote w:id="6">
    <w:p>
      <w:pPr>
        <w:pStyle w:val="BodyTextIndent"/>
        <w:spacing w:lineRule="auto" w:line="240"/>
        <w:ind w:hanging="0" w:start="0" w:end="0"/>
        <w:rPr/>
      </w:pPr>
      <w:r>
        <w:rPr>
          <w:rStyle w:val="FootnoteCharacters"/>
        </w:rPr>
        <w:footnoteRef/>
      </w:r>
      <w:r>
        <w:rPr/>
        <w:tab/>
      </w:r>
      <w:r>
        <w:rPr>
          <w:sz w:val="20"/>
        </w:rPr>
        <w:t>First, the RTO IMA “approves all inter-control area schedules” and the Control Area Operators “perform control area validation of all tags and schedules.”  (Op. Prot. at 11 and 12).  Clearly, the RTO IMA must have the final authority for approval of all tags and schedules in order to avoid situations in which a control area operator could deny a tag of an IPP located within its control area in a discriminatory fashion.  This explanation is consistent with the Commission’s Order No. 2000 requirement that an RTO have “operational authority” over all transmission facilities under its control.  Order No. 2000 at 31,090.  Second, a clarification is necessary that IPPs or municipal/coop entities located inside another party’s control area will provide information directly to the IMA, not through the control area.  Finally, rather than control areas providing contingencies as input into the RTO IMA market system, the control area should provide system status to the RTO IMA and the RTO IMA should run the contingency analysis and provide it back to the control area (so that the RTO IMA has the full operational authority over the contingency events)(Op. Prot. at 5).</w:t>
      </w:r>
    </w:p>
  </w:footnote>
  <w:footnote w:id="7">
    <w:p>
      <w:pPr>
        <w:pStyle w:val="FootnoteText"/>
        <w:rPr/>
      </w:pPr>
      <w:r>
        <w:rPr>
          <w:rStyle w:val="FootnoteCharacters"/>
        </w:rPr>
        <w:footnoteRef/>
      </w:r>
      <w:r>
        <w:rPr/>
        <w:t xml:space="preserve"> </w:t>
      </w:r>
      <w:r>
        <w:rPr/>
        <w:tab/>
      </w:r>
      <w:r>
        <w:rPr>
          <w:i/>
          <w:iCs/>
        </w:rPr>
        <w:t>GridSouth Transco, LLC, etal</w:t>
      </w:r>
      <w:r>
        <w:rPr/>
        <w:t>, 96 FERC ¶ 61,067 at 61,287 (2001).</w:t>
      </w:r>
    </w:p>
  </w:footnote>
  <w:footnote w:id="8">
    <w:p>
      <w:pPr>
        <w:pStyle w:val="FootnoteText"/>
        <w:rPr/>
      </w:pPr>
      <w:r>
        <w:rPr>
          <w:rStyle w:val="FootnoteCharacters"/>
        </w:rPr>
        <w:footnoteRef/>
      </w:r>
      <w:r>
        <w:rPr/>
        <w:t xml:space="preserve"> </w:t>
      </w:r>
      <w:r>
        <w:rPr/>
        <w:tab/>
      </w:r>
      <w:r>
        <w:rPr>
          <w:i/>
          <w:iCs/>
        </w:rPr>
        <w:t>Id.</w:t>
      </w:r>
    </w:p>
  </w:footnote>
  <w:footnote w:id="9">
    <w:p>
      <w:pPr>
        <w:pStyle w:val="FootnoteText"/>
        <w:rPr/>
      </w:pPr>
      <w:r>
        <w:rPr>
          <w:rStyle w:val="FootnoteCharacters"/>
        </w:rPr>
        <w:footnoteRef/>
      </w:r>
      <w:r>
        <w:rPr/>
        <w:t xml:space="preserve"> </w:t>
      </w:r>
      <w:r>
        <w:rPr/>
        <w:tab/>
        <w:t xml:space="preserve">Contrary to the statement, “All of these elements are necessary in order for this model to work,” (Grid proposal at 53), there are a variety of ways to manage the allocation of rights and the resource issues.  For example, while both NY and PJM use the LMP/financial rights model, PJM used allocation without auction and NY utilized an auction.  PJM participants have discussed whether to adopt the auction approach.  Similarly, PJM has recently changed to a seasonal Capacity Resource requirement (generators submit offers in the day ahead market), while NY changed to a monthly icap requirement (using bilateral icap and an icap auction.)  Other models make the independent operator responsible for monitoring reserve percentages and no deficiency charges or markets are established unless a deficiency is determined (this type of model can identify capacity situations in a variety of timeframes, rather than being limited to the time frame of a defined market.)  Further discussion is clearly warranted.  </w:t>
      </w:r>
    </w:p>
  </w:footnote>
  <w:footnote w:id="10">
    <w:p>
      <w:pPr>
        <w:pStyle w:val="FootnoteText"/>
        <w:rPr/>
      </w:pPr>
      <w:r>
        <w:rPr>
          <w:rStyle w:val="FootnoteCharacters"/>
        </w:rPr>
        <w:footnoteRef/>
      </w:r>
      <w:r>
        <w:rPr/>
        <w:t xml:space="preserve"> </w:t>
      </w:r>
      <w:r>
        <w:rPr/>
        <w:tab/>
        <w:t>Marketers oppose the SeTrans congestion management model for the primary reason that it perpetuates the current discriminatory process of requiring “day ahead balanced schedules” that preclude the use of much of the market to participants other than generation and load owning utilities.</w:t>
      </w:r>
    </w:p>
  </w:footnote>
  <w:footnote w:id="11">
    <w:p>
      <w:pPr>
        <w:pStyle w:val="FootnoteText"/>
        <w:rPr/>
      </w:pPr>
      <w:r>
        <w:rPr>
          <w:rStyle w:val="FootnoteCharacters"/>
        </w:rPr>
        <w:footnoteRef/>
      </w:r>
      <w:r>
        <w:rPr/>
        <w:t xml:space="preserve"> </w:t>
      </w:r>
      <w:r>
        <w:rPr/>
        <w:tab/>
        <w:t>However, these capacity products can be a double edged sword in that the more customers pay for capacity, the less incentive a resource has to run to recover its operating and capital costs.  In addition, the Grid model appears to be drafted with mandatory bidding of load, but voluntary bidding by generation.  This can create inefficiencies and should be further discussed.</w:t>
      </w:r>
    </w:p>
  </w:footnote>
  <w:footnote w:id="12">
    <w:p>
      <w:pPr>
        <w:pStyle w:val="FootnoteText"/>
        <w:rPr/>
      </w:pPr>
      <w:r>
        <w:rPr>
          <w:rStyle w:val="FootnoteCharacters"/>
        </w:rPr>
        <w:footnoteRef/>
      </w:r>
      <w:r>
        <w:rPr/>
        <w:t xml:space="preserve"> </w:t>
      </w:r>
      <w:r>
        <w:rPr/>
        <w:tab/>
        <w:t>A day ahead balanced schedule requirement is a barrier to entry in that it restricts the ability of participants to fully respond to the LMP based real time price signals.</w:t>
      </w:r>
    </w:p>
  </w:footnote>
  <w:footnote w:id="13">
    <w:p>
      <w:pPr>
        <w:pStyle w:val="FootnoteText"/>
        <w:rPr/>
      </w:pPr>
      <w:r>
        <w:rPr>
          <w:rStyle w:val="FootnoteCharacters"/>
        </w:rPr>
        <w:footnoteRef/>
      </w:r>
      <w:r>
        <w:rPr/>
        <w:t xml:space="preserve"> </w:t>
      </w:r>
      <w:r>
        <w:rPr/>
        <w:tab/>
        <w:t>There have been ongoing discussions in PJM (where instruments were initially “perpetually allocated”) that the allocation of the instrument has led to the lack of liquidity in the PJM FTRs.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800"/>
        </w:tabs>
        <w:ind w:start="1800" w:hanging="360"/>
      </w:pPr>
      <w:rPr>
        <w:rFonts w:ascii="Symbol" w:hAnsi="Symbol" w:cs="Symbol" w:hint="default"/>
      </w:rPr>
    </w:lvl>
    <w:lvl w:ilvl="1">
      <w:start w:val="1"/>
      <w:numFmt w:val="bullet"/>
      <w:lvlText w:val="o"/>
      <w:lvlJc w:val="start"/>
      <w:pPr>
        <w:tabs>
          <w:tab w:val="num" w:pos="2520"/>
        </w:tabs>
        <w:ind w:start="2520" w:hanging="360"/>
      </w:pPr>
      <w:rPr>
        <w:rFonts w:ascii="Courier New" w:hAnsi="Courier New" w:cs="Courier New" w:hint="default"/>
      </w:rPr>
    </w:lvl>
    <w:lvl w:ilvl="2">
      <w:start w:val="1"/>
      <w:numFmt w:val="bullet"/>
      <w:lvlText w:val=""/>
      <w:lvlJc w:val="start"/>
      <w:pPr>
        <w:tabs>
          <w:tab w:val="num" w:pos="3240"/>
        </w:tabs>
        <w:ind w:start="3240" w:hanging="360"/>
      </w:pPr>
      <w:rPr>
        <w:rFonts w:ascii="Wingdings" w:hAnsi="Wingdings" w:cs="Wingdings" w:hint="default"/>
      </w:rPr>
    </w:lvl>
    <w:lvl w:ilvl="3">
      <w:start w:val="1"/>
      <w:numFmt w:val="bullet"/>
      <w:lvlText w:val=""/>
      <w:lvlJc w:val="start"/>
      <w:pPr>
        <w:tabs>
          <w:tab w:val="num" w:pos="3960"/>
        </w:tabs>
        <w:ind w:start="3960" w:hanging="360"/>
      </w:pPr>
      <w:rPr>
        <w:rFonts w:ascii="Symbol" w:hAnsi="Symbol" w:cs="Symbol" w:hint="default"/>
      </w:rPr>
    </w:lvl>
    <w:lvl w:ilvl="4">
      <w:start w:val="1"/>
      <w:numFmt w:val="bullet"/>
      <w:lvlText w:val="o"/>
      <w:lvlJc w:val="start"/>
      <w:pPr>
        <w:tabs>
          <w:tab w:val="num" w:pos="4680"/>
        </w:tabs>
        <w:ind w:start="4680" w:hanging="360"/>
      </w:pPr>
      <w:rPr>
        <w:rFonts w:ascii="Courier New" w:hAnsi="Courier New" w:cs="Courier New" w:hint="default"/>
      </w:rPr>
    </w:lvl>
    <w:lvl w:ilvl="5">
      <w:start w:val="1"/>
      <w:numFmt w:val="bullet"/>
      <w:lvlText w:val=""/>
      <w:lvlJc w:val="start"/>
      <w:pPr>
        <w:tabs>
          <w:tab w:val="num" w:pos="5400"/>
        </w:tabs>
        <w:ind w:start="5400" w:hanging="360"/>
      </w:pPr>
      <w:rPr>
        <w:rFonts w:ascii="Wingdings" w:hAnsi="Wingdings" w:cs="Wingdings" w:hint="default"/>
      </w:rPr>
    </w:lvl>
    <w:lvl w:ilvl="6">
      <w:start w:val="1"/>
      <w:numFmt w:val="bullet"/>
      <w:lvlText w:val=""/>
      <w:lvlJc w:val="start"/>
      <w:pPr>
        <w:tabs>
          <w:tab w:val="num" w:pos="6120"/>
        </w:tabs>
        <w:ind w:start="6120" w:hanging="360"/>
      </w:pPr>
      <w:rPr>
        <w:rFonts w:ascii="Symbol" w:hAnsi="Symbol" w:cs="Symbol" w:hint="default"/>
      </w:rPr>
    </w:lvl>
    <w:lvl w:ilvl="7">
      <w:start w:val="1"/>
      <w:numFmt w:val="bullet"/>
      <w:lvlText w:val="o"/>
      <w:lvlJc w:val="start"/>
      <w:pPr>
        <w:tabs>
          <w:tab w:val="num" w:pos="6840"/>
        </w:tabs>
        <w:ind w:start="6840" w:hanging="360"/>
      </w:pPr>
      <w:rPr>
        <w:rFonts w:ascii="Courier New" w:hAnsi="Courier New" w:cs="Courier New" w:hint="default"/>
      </w:rPr>
    </w:lvl>
    <w:lvl w:ilvl="8">
      <w:start w:val="1"/>
      <w:numFmt w:val="bullet"/>
      <w:lvlText w:val=""/>
      <w:lvlJc w:val="start"/>
      <w:pPr>
        <w:tabs>
          <w:tab w:val="num" w:pos="7560"/>
        </w:tabs>
        <w:ind w:start="756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keepNext w:val="true"/>
      <w:numPr>
        <w:ilvl w:val="1"/>
        <w:numId w:val="1"/>
      </w:numPr>
      <w:outlineLvl w:val="1"/>
    </w:pPr>
    <w:rPr>
      <w:b/>
      <w:bCs/>
      <w:u w:val="single"/>
    </w:rPr>
  </w:style>
  <w:style w:type="character" w:styleId="WW8Num1z0">
    <w:name w:val="WW8Num1z0"/>
    <w:qFormat/>
    <w:rPr/>
  </w:style>
  <w:style w:type="character" w:styleId="WW8Num2z0">
    <w:name w:val="WW8Num2z0"/>
    <w:qFormat/>
    <w:rPr>
      <w:b/>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 w:val="26"/>
      <w:u w:val="single"/>
    </w:rPr>
  </w:style>
  <w:style w:type="paragraph" w:styleId="BodyText">
    <w:name w:val="Body Text"/>
    <w:basedOn w:val="Normal"/>
    <w:pPr>
      <w:spacing w:lineRule="auto" w:line="480"/>
      <w:jc w:val="both"/>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BodyTextIndent">
    <w:name w:val="Body Text Indent"/>
    <w:basedOn w:val="Normal"/>
    <w:pPr>
      <w:spacing w:lineRule="auto" w:line="480"/>
      <w:ind w:firstLine="1080" w:start="-360" w:end="0"/>
      <w:jc w:val="both"/>
    </w:pPr>
    <w:rPr>
      <w:sz w:val="26"/>
    </w:rPr>
  </w:style>
  <w:style w:type="paragraph" w:styleId="Style13">
    <w:name w:val="آ"/>
    <w:basedOn w:val="Normal"/>
    <w:qFormat/>
    <w:pPr/>
    <w:rPr>
      <w:szCs w:val="20"/>
    </w:rPr>
  </w:style>
  <w:style w:type="paragraph" w:styleId="BodyTextIndent2">
    <w:name w:val="Body Text Indent 2"/>
    <w:basedOn w:val="Normal"/>
    <w:qFormat/>
    <w:pPr>
      <w:spacing w:lineRule="auto" w:line="480"/>
      <w:ind w:firstLine="720" w:start="0" w:end="0"/>
    </w:pPr>
    <w:rPr>
      <w:rFonts w:cs="Arial"/>
      <w:sz w:val="26"/>
      <w:szCs w:val="20"/>
    </w:rPr>
  </w:style>
  <w:style w:type="paragraph" w:styleId="BodyTextIndent3">
    <w:name w:val="Body Text Indent 3"/>
    <w:basedOn w:val="Normal"/>
    <w:qFormat/>
    <w:pPr>
      <w:spacing w:lineRule="auto" w:line="480"/>
      <w:ind w:hanging="0" w:start="-360" w:end="0"/>
      <w:jc w:val="both"/>
    </w:pPr>
    <w:rPr>
      <w:sz w:val="2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2001-09-04T16:01:00Z</dcterms:created>
  <dc:creator>cnicola</dc:creator>
  <dc:description/>
  <dc:language>en-CA</dc:language>
  <cp:lastModifiedBy>cnicola</cp:lastModifiedBy>
  <cp:lastPrinted>2001-09-05T14:50:00Z</cp:lastPrinted>
  <dcterms:modified xsi:type="dcterms:W3CDTF">2001-09-05T17:34:00Z</dcterms:modified>
  <cp:revision>32</cp:revision>
  <dc:subject/>
  <dc:title>PRIVILEGED AND</dc:title>
</cp:coreProperties>
</file>