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bin" ContentType="application/vnd.openxmlformats-officedocument.oleObjec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Level1"/>
        <w:rPr>
          <w:rFonts w:ascii="Arial" w:hAnsi="Arial" w:cs="Arial"/>
        </w:rPr>
      </w:pPr>
      <w:r>
        <w:rPr>
          <w:rFonts w:cs="Arial" w:ascii="Arial" w:hAnsi="Arial"/>
        </w:rPr>
        <w:t>Exhibit 1:  California and Nevada Market Overview</w:t>
      </w:r>
    </w:p>
    <w:p>
      <w:pPr>
        <w:pStyle w:val="Heading2"/>
        <w:spacing w:before="0" w:after="120"/>
        <w:ind w:hanging="0" w:start="-360"/>
        <w:rPr>
          <w:rFonts w:ascii="Arial" w:hAnsi="Arial" w:cs="Arial"/>
          <w:i/>
          <w:i/>
          <w:sz w:val="22"/>
        </w:rPr>
      </w:pPr>
      <w:r>
        <w:rPr>
          <w:rFonts w:cs="Arial" w:ascii="Arial" w:hAnsi="Arial"/>
          <w:i/>
          <w:sz w:val="22"/>
        </w:rPr>
        <w:t>The information in this section has been included based on a variety of third party sources.  The Company has not independently verified the information contained herein.</w:t>
      </w:r>
    </w:p>
    <w:p>
      <w:pPr>
        <w:pStyle w:val="BodyText"/>
        <w:rPr>
          <w:rFonts w:ascii="Arial" w:hAnsi="Arial" w:cs="Arial"/>
          <w:i/>
          <w:i/>
          <w:sz w:val="22"/>
        </w:rPr>
      </w:pPr>
      <w:r>
        <w:rPr>
          <w:rFonts w:cs="Arial" w:ascii="Arial" w:hAnsi="Arial"/>
          <w:i/>
          <w:sz w:val="22"/>
        </w:rPr>
      </w:r>
    </w:p>
    <w:p>
      <w:pPr>
        <w:pStyle w:val="Heading2"/>
        <w:spacing w:before="0" w:after="120"/>
        <w:ind w:hanging="0" w:start="-360"/>
        <w:rPr>
          <w:rFonts w:ascii="Arial" w:hAnsi="Arial" w:cs="Arial"/>
        </w:rPr>
      </w:pPr>
      <w:r>
        <w:rPr>
          <w:rFonts w:cs="Arial" w:ascii="Arial" w:hAnsi="Arial"/>
        </w:rPr>
        <w:t>Overview</w:t>
      </w:r>
    </w:p>
    <w:p>
      <w:pPr>
        <w:pStyle w:val="Normal"/>
        <w:rPr>
          <w:rFonts w:ascii="Arial" w:hAnsi="Arial" w:cs="Arial"/>
        </w:rPr>
      </w:pPr>
      <w:r>
        <w:rPr>
          <w:rFonts w:cs="Arial" w:ascii="Arial" w:hAnsi="Arial"/>
        </w:rPr>
        <w:t>Current and proposed deregulation of the power markets in California and Nevada, respectively, and the shift towards pricing based on market principles, has fundamentally changed the structure of the energy industry in these states.  New gas-fired resources will be well placed to benefit from their cost advantage over older, less efficient power plants.  The continued load growth projected to occur in California and Nevada will lead to higher power prices and larger margins for efficient gas-fired generation assets.</w:t>
      </w:r>
    </w:p>
    <w:p>
      <w:pPr>
        <w:pStyle w:val="Heading2"/>
        <w:ind w:hanging="0" w:start="-360"/>
        <w:jc w:val="both"/>
        <w:rPr>
          <w:rFonts w:ascii="Arial" w:hAnsi="Arial" w:cs="Arial"/>
        </w:rPr>
      </w:pPr>
      <w:r>
        <w:rPr>
          <w:rFonts w:cs="Arial" w:ascii="Arial" w:hAnsi="Arial"/>
        </w:rPr>
        <w:t>Western Systems Coordination Council</w:t>
      </w:r>
    </w:p>
    <w:p>
      <w:pPr>
        <w:pStyle w:val="Normal"/>
        <w:rPr>
          <w:rFonts w:ascii="Arial" w:hAnsi="Arial" w:cs="Arial"/>
        </w:rPr>
      </w:pPr>
      <w:r>
        <w:rPr>
          <w:rFonts w:cs="Arial" w:ascii="Arial" w:hAnsi="Arial"/>
        </w:rPr>
        <w:t>The WSCC region covers an area of nearly 1.8 million square miles.  It represents the electric power systems serving all or part of the 14 western U.S. states, as well as the provinces of Alberta and British Colombia in Canada and the northern portion of Baja California in Mexico.  The WSCC’s 86 members and 22 affiliate members provide electric service to approximately 65 million people throughout the region.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California and Nevada are located in the Western Systems Coordination Council (“WSCC”), which promotes electric service reliability in the western portion of North America.  Because of the WSCC’s size and geographical diversity, the region is divided into four reporting areas.</w:t>
      </w:r>
    </w:p>
    <w:p>
      <w:pPr>
        <w:pStyle w:val="Normal"/>
        <w:rPr>
          <w:rFonts w:ascii="Arial" w:hAnsi="Arial" w:cs="Arial"/>
        </w:rPr>
      </w:pPr>
      <w:r>
        <w:rPr>
          <w:rFonts w:cs="Arial" w:ascii="Arial" w:hAnsi="Arial"/>
        </w:rPr>
      </w:r>
    </w:p>
    <w:p>
      <w:pPr>
        <w:pStyle w:val="Normal"/>
        <w:rPr/>
      </w:pPr>
      <w:r>
        <w:rPr>
          <w:rFonts w:cs="Arial" w:ascii="Arial" w:hAnsi="Arial"/>
        </w:rPr>
        <w:t>The</w:t>
      </w:r>
      <w:r>
        <w:rPr>
          <w:rFonts w:cs="Arial" w:ascii="Arial" w:hAnsi="Arial"/>
          <w:i/>
        </w:rPr>
        <w:t xml:space="preserve"> Northwest Power Pool (“NWPP”)</w:t>
      </w:r>
      <w:r>
        <w:rPr>
          <w:rFonts w:cs="Arial" w:ascii="Arial" w:hAnsi="Arial"/>
        </w:rPr>
        <w:t xml:space="preserve"> Area is comprised of the states of Washington, Oregon, Idaho, and Utah; the Canadian provinces of British Columbia and Alberta; and portions of Montana, Wyoming, Nevada, and California.  Over the period from 1998 through 2008, peak demand and annual energy requirements are projected to grow at respective annual compound rates of 1.1% and 1.6%.  Resource capacity margins for this winter peaking area range between 11.3% and 15.7% of firm peak demand for the next ten years. </w:t>
      </w:r>
    </w:p>
    <w:p>
      <w:pPr>
        <w:pStyle w:val="Normal"/>
        <w:rPr>
          <w:rFonts w:ascii="Arial" w:hAnsi="Arial" w:cs="Arial"/>
        </w:rPr>
      </w:pPr>
      <w:r>
        <w:rPr>
          <w:rFonts w:cs="Arial" w:ascii="Arial" w:hAnsi="Arial"/>
        </w:rPr>
      </w:r>
    </w:p>
    <w:p>
      <w:pPr>
        <w:pStyle w:val="Normal"/>
        <w:rPr/>
      </w:pPr>
      <w:r>
        <w:rPr>
          <w:rFonts w:cs="Arial" w:ascii="Arial" w:hAnsi="Arial"/>
        </w:rPr>
        <w:t xml:space="preserve">The </w:t>
      </w:r>
      <w:r>
        <w:rPr>
          <w:rFonts w:cs="Arial" w:ascii="Arial" w:hAnsi="Arial"/>
          <w:i/>
        </w:rPr>
        <w:t>Rocky Mountain Power Area (“RMPA”)</w:t>
      </w:r>
      <w:r>
        <w:rPr>
          <w:rFonts w:cs="Arial" w:ascii="Arial" w:hAnsi="Arial"/>
        </w:rPr>
        <w:t xml:space="preserve"> consists of Colorado, eastern Wyoming, and portions of western Nebraska and South Dakota. The RMPA may experience its annual peak demand in either the summer or winter season due to variations in weather. Over the period from 1998 through 2008, peak demand and annual energy requirements are projected to grow at respective annual compound rates of 2.2% and 2.4%. Summer resource capacity margins range between 17.1% and 22.5% of firm peak demand for the next ten years.</w:t>
      </w:r>
    </w:p>
    <w:p>
      <w:pPr>
        <w:pStyle w:val="Normal"/>
        <w:rPr>
          <w:rFonts w:ascii="Arial" w:hAnsi="Arial" w:cs="Arial"/>
        </w:rPr>
      </w:pPr>
      <w:r>
        <w:rPr>
          <w:rFonts w:cs="Arial" w:ascii="Arial" w:hAnsi="Arial"/>
        </w:rPr>
      </w:r>
    </w:p>
    <w:p>
      <w:pPr>
        <w:pStyle w:val="Normal"/>
        <w:rPr/>
      </w:pPr>
      <w:r>
        <w:rPr>
          <w:rFonts w:cs="Arial" w:ascii="Arial" w:hAnsi="Arial"/>
        </w:rPr>
        <w:t xml:space="preserve">The </w:t>
      </w:r>
      <w:r>
        <w:rPr>
          <w:rFonts w:cs="Arial" w:ascii="Arial" w:hAnsi="Arial"/>
          <w:i/>
        </w:rPr>
        <w:t xml:space="preserve">Arizona-New Mexico-Southern Nevada Power Area </w:t>
      </w:r>
      <w:r>
        <w:rPr>
          <w:rFonts w:cs="Arial" w:ascii="Arial" w:hAnsi="Arial"/>
        </w:rPr>
        <w:t>consists of Arizona, most of New Mexico, the westernmost part of Texas, southern Nevada, and a portion of southeastern California. Over the period from 1998 through 2008, peak demand and annual energy requirements are projected to grow at a 2.5% annual compound rate. Resource capacity margins for this summer peaking area range between 9.4% and 10.6% of firm peak demand for the next ten years.</w:t>
      </w:r>
    </w:p>
    <w:p>
      <w:pPr>
        <w:pStyle w:val="Normal"/>
        <w:rPr>
          <w:rFonts w:ascii="Arial" w:hAnsi="Arial" w:cs="Arial"/>
        </w:rPr>
      </w:pPr>
      <w:r>
        <w:rPr>
          <w:rFonts w:cs="Arial" w:ascii="Arial" w:hAnsi="Arial"/>
        </w:rPr>
      </w:r>
    </w:p>
    <w:p>
      <w:pPr>
        <w:pStyle w:val="Normal"/>
        <w:rPr/>
      </w:pPr>
      <w:r>
        <w:rPr>
          <w:rFonts w:cs="Arial" w:ascii="Arial" w:hAnsi="Arial"/>
        </w:rPr>
        <w:t xml:space="preserve">The </w:t>
      </w:r>
      <w:r>
        <w:rPr>
          <w:rFonts w:cs="Arial" w:ascii="Arial" w:hAnsi="Arial"/>
          <w:i/>
        </w:rPr>
        <w:t>California-Mexico Power Area</w:t>
      </w:r>
      <w:r>
        <w:rPr>
          <w:rFonts w:cs="Arial" w:ascii="Arial" w:hAnsi="Arial"/>
        </w:rPr>
        <w:t xml:space="preserve"> encompasses most of California and the northern portion of Baja California, Mexico. Restructuring of the electric industry in California in 1998 and beyond adds much uncertainty to future adequacy projections of generating capacity, energy production by independent power producers, and effects of customer energy efficiency/demand-side management programs. Recognizing that future forecast uncertainty exists, peak demands and annual energy requirements are currently projected to grow at respective annual compound rates of 1.3% and 1.8% from 1998 through 2008. Projected resource capacity margins range between 10.7% and 12.1% of firm peak demand for the next ten years.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aggregate load supply and demand and reserve margin situation within the WSCC is described in the graph below.</w:t>
      </w:r>
    </w:p>
    <w:p>
      <w:pPr>
        <w:pStyle w:val="Normal"/>
        <w:rPr>
          <w:rFonts w:ascii="Arial" w:hAnsi="Arial" w:cs="Arial"/>
        </w:rPr>
      </w:pPr>
      <w:r>
        <w:rPr>
          <w:rFonts w:cs="Arial" w:ascii="Arial" w:hAnsi="Arial"/>
        </w:rPr>
      </w:r>
    </w:p>
    <w:p>
      <w:pPr>
        <w:pStyle w:val="heding4"/>
        <w:rPr>
          <w:rFonts w:ascii="Arial" w:hAnsi="Arial" w:cs="Arial"/>
        </w:rPr>
      </w:pPr>
      <w:r>
        <w:rPr>
          <w:rFonts w:cs="Arial" w:ascii="Arial" w:hAnsi="Arial"/>
          <w:lang w:val="en-CA"/>
        </w:rPr>
        <w:object w:dxaOrig="8960" w:dyaOrig="435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2.25pt;height:220.4pt" filled="f" o:ole="">
            <v:imagedata r:id="rId3" o:title=""/>
          </v:shape>
          <o:OLEObject Type="Embed" ProgID="Excel.Sheet.12" ShapeID="ole_rId2" DrawAspect="Content" ObjectID="_487805308" r:id="rId2"/>
        </w:object>
      </w:r>
    </w:p>
    <w:p>
      <w:pPr>
        <w:pStyle w:val="Normal"/>
        <w:numPr>
          <w:ilvl w:val="0"/>
          <w:numId w:val="0"/>
        </w:numPr>
        <w:outlineLvl w:val="0"/>
        <w:rPr>
          <w:rFonts w:ascii="Arial" w:hAnsi="Arial" w:cs="Arial"/>
          <w:b/>
          <w:sz w:val="16"/>
        </w:rPr>
      </w:pPr>
      <w:r>
        <w:rPr>
          <w:rFonts w:cs="Arial" w:ascii="Arial" w:hAnsi="Arial"/>
          <w:b/>
          <w:sz w:val="16"/>
        </w:rPr>
        <w:t>Source: WSCC (ENA Projections)</w:t>
      </w:r>
    </w:p>
    <w:p>
      <w:pPr>
        <w:pStyle w:val="Normal"/>
        <w:numPr>
          <w:ilvl w:val="0"/>
          <w:numId w:val="0"/>
        </w:numPr>
        <w:outlineLvl w:val="0"/>
        <w:rPr>
          <w:rFonts w:ascii="Arial" w:hAnsi="Arial" w:cs="Arial"/>
          <w:b/>
          <w:sz w:val="16"/>
        </w:rPr>
      </w:pPr>
      <w:r>
        <w:rPr>
          <w:rFonts w:cs="Arial" w:ascii="Arial" w:hAnsi="Arial"/>
          <w:b/>
          <w:sz w:val="16"/>
        </w:rPr>
      </w:r>
    </w:p>
    <w:tbl>
      <w:tblPr>
        <w:tblW w:w="9526" w:type="dxa"/>
        <w:jc w:val="start"/>
        <w:tblInd w:w="0" w:type="dxa"/>
        <w:tblLayout w:type="fixed"/>
        <w:tblCellMar>
          <w:top w:w="0" w:type="dxa"/>
          <w:start w:w="30" w:type="dxa"/>
          <w:bottom w:w="0" w:type="dxa"/>
          <w:end w:w="30" w:type="dxa"/>
        </w:tblCellMar>
      </w:tblPr>
      <w:tblGrid>
        <w:gridCol w:w="9526"/>
      </w:tblGrid>
      <w:tr>
        <w:trPr/>
        <w:tc>
          <w:tcPr>
            <w:tcW w:w="9526" w:type="dxa"/>
            <w:tcBorders/>
          </w:tcPr>
          <w:p>
            <w:pPr>
              <w:pStyle w:val="Normal"/>
              <w:rPr>
                <w:rFonts w:ascii="Arial" w:hAnsi="Arial" w:cs="Arial"/>
                <w:color w:val="000000"/>
              </w:rPr>
            </w:pPr>
            <w:r>
              <w:rPr>
                <w:rFonts w:cs="Arial" w:ascii="Arial" w:hAnsi="Arial"/>
              </w:rPr>
              <w:t>The region as a whole has experienced a tighter electricity market during the past several years. Given this supply and demand dynamic, most industry participants have concluded that the WSCC is facing a fundamental shortage of generation. Moreover, first-mover advantages and early on-line dates create exponential opportunities to capture margin and market share during this time of capacity shortage.</w:t>
            </w:r>
          </w:p>
        </w:tc>
      </w:tr>
    </w:tbl>
    <w:p>
      <w:pPr>
        <w:pStyle w:val="BodyText"/>
        <w:rPr/>
      </w:pPr>
      <w:r>
        <w:rPr/>
      </w:r>
    </w:p>
    <w:p>
      <w:pPr>
        <w:pStyle w:val="Heading-Level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Under the new competitive environment, generation owners are able to sell electric energy to the Power Exchange (“PX”) and the ISO as well as through bilateral contracts directly to end-use customers or power-marketers.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to energy sales, generators are able to obtain revenues for:</w:t>
      </w:r>
    </w:p>
    <w:p>
      <w:pPr>
        <w:pStyle w:val="Normal"/>
        <w:rPr>
          <w:rFonts w:ascii="Arial" w:hAnsi="Arial" w:cs="Arial"/>
        </w:rPr>
      </w:pPr>
      <w:r>
        <w:rPr>
          <w:rFonts w:cs="Arial" w:ascii="Arial" w:hAnsi="Arial"/>
        </w:rPr>
      </w:r>
    </w:p>
    <w:p>
      <w:pPr>
        <w:pStyle w:val="Bullet1-Soft"/>
        <w:numPr>
          <w:ilvl w:val="0"/>
          <w:numId w:val="3"/>
        </w:numPr>
        <w:spacing w:before="0" w:after="120"/>
        <w:ind w:hanging="302" w:start="302" w:end="0"/>
        <w:rPr>
          <w:rFonts w:ascii="Arial" w:hAnsi="Arial" w:cs="Arial"/>
        </w:rPr>
      </w:pPr>
      <w:r>
        <w:rPr>
          <w:rFonts w:cs="Arial" w:ascii="Arial" w:hAnsi="Arial"/>
        </w:rPr>
        <w:t>Capacity, option or fuel tolling agreements with power marketers;</w:t>
      </w:r>
    </w:p>
    <w:p>
      <w:pPr>
        <w:pStyle w:val="Bullet1-Soft"/>
        <w:numPr>
          <w:ilvl w:val="0"/>
          <w:numId w:val="3"/>
        </w:numPr>
        <w:spacing w:before="0" w:after="120"/>
        <w:ind w:hanging="302" w:start="302" w:end="0"/>
        <w:rPr>
          <w:rFonts w:ascii="Arial" w:hAnsi="Arial" w:cs="Arial"/>
        </w:rPr>
      </w:pPr>
      <w:r>
        <w:rPr>
          <w:rFonts w:cs="Arial" w:ascii="Arial" w:hAnsi="Arial"/>
        </w:rPr>
        <w:t>Sales of ancillary services to the ISO; and</w:t>
      </w:r>
    </w:p>
    <w:p>
      <w:pPr>
        <w:pStyle w:val="Bullet1-Soft"/>
        <w:numPr>
          <w:ilvl w:val="0"/>
          <w:numId w:val="3"/>
        </w:numPr>
        <w:spacing w:before="0" w:after="120"/>
        <w:ind w:hanging="302" w:start="302" w:end="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4"/>
        </w:rPr>
      </w:pPr>
      <w:r>
        <w:rPr>
          <w:rFonts w:cs="Arial"/>
          <w:sz w:val="24"/>
        </w:rPr>
      </w:r>
    </w:p>
    <w:p>
      <w:pPr>
        <w:pStyle w:val="Heading3"/>
        <w:keepNext w:val="false"/>
        <w:spacing w:before="0" w:after="120"/>
        <w:ind w:hanging="0" w:start="0"/>
        <w:jc w:val="both"/>
        <w:rPr/>
      </w:pPr>
      <w:r>
        <w:rPr>
          <w:sz w:val="24"/>
        </w:rPr>
        <w:t xml:space="preserve">Fixed Transmission into California.  </w:t>
      </w:r>
      <w:r>
        <w:rPr>
          <w:b w:val="false"/>
          <w:sz w:val="24"/>
        </w:rPr>
        <w:t xml:space="preserve">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  Further load increases outside the state have reduced the availability of resources to satisfy the California load demand. </w:t>
      </w:r>
    </w:p>
    <w:p>
      <w:pPr>
        <w:pStyle w:val="FinancialTableMainHd"/>
        <w:spacing w:before="0" w:after="120"/>
        <w:jc w:val="both"/>
        <w:rPr>
          <w:b w:val="false"/>
          <w:sz w:val="24"/>
        </w:rPr>
      </w:pPr>
      <w:r>
        <w:rPr>
          <w:b w:val="false"/>
          <w:sz w:val="24"/>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0064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4" t="19570" r="-4" b="16611"/>
                    <a:stretch>
                      <a:fillRect/>
                    </a:stretch>
                  </pic:blipFill>
                  <pic:spPr bwMode="auto">
                    <a:xfrm>
                      <a:off x="0" y="0"/>
                      <a:ext cx="5358765" cy="1006475"/>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BodyText"/>
        <w:rPr/>
      </w:pPr>
      <w:r>
        <w:rPr>
          <w:rFonts w:cs="Arial" w:ascii="Arial" w:hAnsi="Arial"/>
          <w:sz w:val="24"/>
        </w:rPr>
        <w:t>These transmission constraints along with projected load growth throughout the state mandates the necessity to add additional capacity within California to ensure sufficient supply</w:t>
      </w:r>
      <w:r>
        <w:rPr>
          <w:rFonts w:cs="Arial" w:ascii="Arial" w:hAnsi="Arial"/>
        </w:rPr>
        <w:t>.</w:t>
      </w:r>
    </w:p>
    <w:p>
      <w:pPr>
        <w:pStyle w:val="Plain"/>
        <w:rPr>
          <w:rFonts w:ascii="Arial" w:hAnsi="Arial" w:cs="Arial"/>
        </w:rPr>
      </w:pPr>
      <w:r>
        <w:rPr>
          <w:rFonts w:cs="Arial" w:ascii="Arial" w:hAnsi="Arial"/>
        </w:rPr>
      </w:r>
    </w:p>
    <w:p>
      <w:pPr>
        <w:pStyle w:val="Normal"/>
        <w:rPr/>
      </w:pPr>
      <w:r>
        <w:rPr>
          <w:rFonts w:cs="Arial" w:ascii="Arial" w:hAnsi="Arial"/>
          <w:b/>
        </w:rPr>
        <w:t>Power Exchange.</w:t>
      </w:r>
      <w:r>
        <w:rPr>
          <w:rFonts w:cs="Arial" w:ascii="Arial" w:hAnsi="Arial"/>
        </w:rPr>
        <w:t xml:space="preserve">  The PX is a FERC-jurisdictional wholesale electric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 xml:space="preserve">Independent System Operator (“ISO”).  </w:t>
      </w:r>
      <w:r>
        <w:rPr>
          <w:rFonts w:cs="Arial" w:ascii="Arial" w:hAnsi="Arial"/>
        </w:rPr>
        <w:t>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pPr>
      <w:r>
        <w:rPr>
          <w:sz w:val="24"/>
        </w:rPr>
        <w:t xml:space="preserve">Reliability “Must-run” Resources.  </w:t>
      </w:r>
      <w:r>
        <w:rPr>
          <w:b w:val="false"/>
          <w:sz w:val="24"/>
        </w:rPr>
        <w:t xml:space="preserve">As part of its mandate to ensure system reliability, the ISO must assess the need for “reliability-must-run” (“RMR”) generating units necessary to support operation of the transmission system.  The ISO has the right to call on RMR units for operation pursuant to a “must-run”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“must-run” agreements with generators and instead ensure reliability through competitively procured ancillary services. Therefore, the “must-run” agreements are currently cancelable with 90 days notice if the ISO determines that a given RMR unit is no longer required for reliability. </w:t>
      </w:r>
    </w:p>
    <w:p>
      <w:pPr>
        <w:pStyle w:val="BodyText"/>
        <w:rPr>
          <w:b/>
          <w:sz w:val="24"/>
        </w:rPr>
      </w:pPr>
      <w:r>
        <w:rPr>
          <w:b/>
          <w:sz w:val="24"/>
        </w:rPr>
      </w:r>
    </w:p>
    <w:p>
      <w:pPr>
        <w:pStyle w:val="Heading3"/>
        <w:keepNext w:val="false"/>
        <w:keepLines w:val="false"/>
        <w:spacing w:before="0" w:after="120"/>
        <w:ind w:hanging="0" w:start="0"/>
        <w:jc w:val="both"/>
        <w:rPr/>
      </w:pPr>
      <w:r>
        <w:rPr>
          <w:sz w:val="24"/>
        </w:rPr>
        <w:t xml:space="preserve">Regulatory “Must-take” Resources.  </w:t>
      </w:r>
      <w:r>
        <w:rPr>
          <w:b w:val="false"/>
          <w:sz w:val="24"/>
        </w:rPr>
        <w:t xml:space="preserve">The rules governing the deregulation of the California market call for certain generation resources within the state to be designated “must-take”.  These resources will be dispatched regardless of their economic competitiveness.  These “must-take” resources encompass approximately 5,000 MW of nuclear plants, approximately 10,000 MW of QF’s, as well as certain other entities and plants with pre-existing contracts.  “Must-take” generation will decline significantly after 2001 as PG&amp;E’s 2,200 MW Diablo Canyon nuclear plant and SCE’s approximately 580 MW share of the Palo Verde nuclear plant will cease to be “must-take” after 2001.  The state’s remaining nuclear capacity will lose its “must-take” status after 2003.  QFs will maintain “must-take”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BodyText"/>
        <w:rPr>
          <w:b/>
          <w:sz w:val="24"/>
        </w:rPr>
      </w:pPr>
      <w:r>
        <w:rPr>
          <w:b/>
          <w:sz w:val="24"/>
        </w:rPr>
      </w:r>
    </w:p>
    <w:p>
      <w:pPr>
        <w:pStyle w:val="Heading2"/>
        <w:spacing w:before="0" w:after="120"/>
        <w:ind w:hanging="0" w:start="-360"/>
        <w:jc w:val="both"/>
        <w:rPr>
          <w:rFonts w:ascii="Arial" w:hAnsi="Arial" w:cs="Arial"/>
        </w:rPr>
      </w:pPr>
      <w:r>
        <w:rPr>
          <w:rFonts w:cs="Arial" w:ascii="Arial" w:hAnsi="Arial"/>
        </w:rPr>
        <w:t>Nevada Market Structure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 July 28, 1999, SPR and NPC completed their merger, creating the largest single investor-owned electric utility in Nevada. SPR, through its subsidiaries, provides electricity, natural gas and water utility services to more than one million customers in Nevada and California, including the communities of Las Vegas, Reno and Lake Tahoe.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 the advent of utility restructuring in Nevada, SPR made a strategic decision to exit its existing electric generation business and to focus on becoming on of the premier transmission, distribution and energy services companies in the Western U.S. As a condition of their merger and in furtherance of the competitive reforms contemplated by Nevada’s deregulation legislation, the Companies have committed to auction (Auction) approximately 2,853 MW of fossil-fired electric generation facilities, leaving a transportation and distribution company. The Companies expect the sale process to be completed and final approvals to be received by early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power market in Nevada can be characterized by two separate and independent control areas: Southern Nevada (NPC’s service territory) and Northern Nevada (SPPC’s service territory). These service territories are not interconnected and they are at least one wheel away from each other.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Nevada enacted a restructuring statute in 1997 that was subsequently amended in 1999 in the form of SB438. In Southern Nevada, Nevada Power will begin to provide unbundled distribution service as the provider of last resort under a phased-in schedule beginning November 2000 and finishing December 2001, creating a range of opportunities to sell excess power and ancillary services. In Northern Nevada, Sierra Pacific Power will begin phasing in unbundled distribution service in April 2001. Although this is the stated plan, there can be no guarantees that its implementation will occur or the schedule will be met.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It is likely that the Nevada market, when deregulated, will be substantially influenced by the much larger, more mature, California market. ENA believes that Nevada power prices are likely to be directly influenced by California Power Exchange prices for southern California. </w:t>
      </w:r>
    </w:p>
    <w:p>
      <w:pPr>
        <w:pStyle w:val="Normal"/>
        <w:rPr>
          <w:rFonts w:ascii="Arial" w:hAnsi="Arial" w:cs="Arial"/>
        </w:rPr>
      </w:pPr>
      <w:r>
        <w:rPr>
          <w:rFonts w:cs="Arial" w:ascii="Arial" w:hAnsi="Arial"/>
        </w:rPr>
      </w:r>
    </w:p>
    <w:p>
      <w:pPr>
        <w:pStyle w:val="Normal"/>
        <w:rPr/>
      </w:pPr>
      <w:r>
        <w:rPr>
          <w:rFonts w:cs="Arial" w:ascii="Arial" w:hAnsi="Arial"/>
          <w:b/>
        </w:rPr>
        <w:t>Nevada and California</w:t>
      </w:r>
      <w:r>
        <w:rPr>
          <w:rFonts w:cs="Arial" w:ascii="Arial" w:hAnsi="Arial"/>
        </w:rPr>
        <w:t>. The Nevada/Southern California transmission network has substantial transmission intertie capacity with direct connections among PG&amp;E, Los Angeles Water and Power (LADWP), SCE, NPC, SPPC, Idaho Power Company (IDPC), Pasadena Municipal Utility (PASA), and the Western Power Administration (WAPA). NPC’s strong interconnections provide import capacity of about 3,000 MW and an export capability of 3,000 MW (assuming no additional load within the load pocket that would be greater than the local load).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Northern Nevada market provides access to the large wholesale power markets of Northern and Southern California. A load pocket exists in nearly all hours of the year in the Northern Nevada territory due to limited interconnections with other control areas. Currently interfaces between the SPPC control area and areas beyond are very limited. The net import capability into the SPPC area is approximately 1,063 MW and demonstrates significant interdependence between the lines.</w:t>
      </w:r>
    </w:p>
    <w:p>
      <w:pPr>
        <w:pStyle w:val="Normal"/>
        <w:rPr>
          <w:rFonts w:ascii="Arial" w:hAnsi="Arial" w:cs="Arial"/>
        </w:rPr>
      </w:pPr>
      <w:r>
        <w:rPr>
          <w:rFonts w:cs="Arial" w:ascii="Arial" w:hAnsi="Arial"/>
        </w:rPr>
      </w:r>
    </w:p>
    <w:p>
      <w:pPr>
        <w:pStyle w:val="Normal"/>
        <w:rPr/>
      </w:pPr>
      <w:r>
        <w:rPr>
          <w:rFonts w:cs="Arial" w:ascii="Arial" w:hAnsi="Arial"/>
          <w:b/>
        </w:rPr>
        <w:t>Compelling Supply Profile</w:t>
      </w:r>
      <w:r>
        <w:rPr>
          <w:rFonts w:cs="Arial" w:ascii="Arial" w:hAnsi="Arial"/>
        </w:rPr>
        <w:t>. Nevada and California contain approximately 400 generating units with a total installed winter capacity of approximately 61,000 MW. The installed capacity mix within Nevada and California is comprised of approximately 30% nuclear assets, 26% hydroelectric, 22% oil and gas facilities, 18% coal-fired units, 3% geothermal and 1% from other sources.</w:t>
      </w:r>
    </w:p>
    <w:p>
      <w:pPr>
        <w:pStyle w:val="Normal"/>
        <w:rPr>
          <w:rFonts w:ascii="Arial" w:hAnsi="Arial" w:cs="Arial"/>
        </w:rPr>
      </w:pPr>
      <w:r>
        <w:rPr>
          <w:rFonts w:cs="Arial" w:ascii="Arial" w:hAnsi="Arial"/>
        </w:rPr>
      </w:r>
    </w:p>
    <w:p>
      <w:pPr>
        <w:pStyle w:val="Normal"/>
        <w:rPr/>
      </w:pPr>
      <w:r>
        <w:rPr>
          <w:rFonts w:cs="Arial" w:ascii="Arial" w:hAnsi="Arial"/>
          <w:b/>
        </w:rPr>
        <w:t>Rapid Demand Growth</w:t>
      </w:r>
      <w:r>
        <w:rPr>
          <w:rFonts w:cs="Arial" w:ascii="Arial" w:hAnsi="Arial"/>
        </w:rPr>
        <w:t>. NPC has experienced customer growth from 428,286 retail customers in 1994 to 548,796 in 1998, a 6.4% CAGR, approximately three times the national average. During the same period energy sales have increased from 11.9 TWh in 1994 to 14.9 TWh in 1998, reflecting a CAGR of 5.7%. At the same time, peak demand increased from 2,920 MW in 1994 to 3,855 in 1998, a CAGR of more than 7.2%. The expected continued growth in the Las Vegas area and surrounding communities is expected to translate into appreciable growth in electricity demand.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Northern part of the state of Nevada continues to experience a steady growth far exceeding that of most other domestic electric and gas utilities. SPPC has experienced customer growth from 259,490 retail customers in 1994 to 290,485 in 1998, reflecting more than a 2.9% CAGR. During the same period energy sales have increased from 6.8 TWh in 1994 to 8.2 TWh in 1998, reflecting a compounded annual growth rate more than 4.7%. At the same time, peak demand increased from 1,130 MW in 1994 to 1,423 in 1998, a CAGR of more than 5.9%. The expected continued growth in the Reno/Tahoe area and surrounding communities is expected to translate into appreciable growth in electricity demand.  </w:t>
      </w:r>
    </w:p>
    <w:p>
      <w:pPr>
        <w:pStyle w:val="Normal"/>
        <w:rPr>
          <w:rFonts w:ascii="Arial" w:hAnsi="Arial" w:cs="Arial"/>
          <w:lang w:val="en-CA"/>
        </w:rPr>
      </w:pPr>
      <w:r>
        <w:rPr>
          <w:rFonts w:cs="Arial" w:ascii="Arial" w:hAnsi="Arial"/>
          <w:lang w:val="en-CA"/>
        </w:rPr>
        <mc:AlternateContent>
          <mc:Choice Requires="wpg">
            <w:drawing>
              <wp:anchor behindDoc="0" distT="0" distB="0" distL="114935" distR="114935" simplePos="0" locked="0" layoutInCell="0" allowOverlap="1" relativeHeight="5">
                <wp:simplePos x="0" y="0"/>
                <wp:positionH relativeFrom="column">
                  <wp:posOffset>685800</wp:posOffset>
                </wp:positionH>
                <wp:positionV relativeFrom="paragraph">
                  <wp:posOffset>114300</wp:posOffset>
                </wp:positionV>
                <wp:extent cx="4113530" cy="3816350"/>
                <wp:effectExtent l="81280" t="5080" r="5080" b="81280"/>
                <wp:wrapSquare wrapText="bothSides"/>
                <wp:docPr id="2" name=""/>
                <a:graphic xmlns:a="http://schemas.openxmlformats.org/drawingml/2006/main">
                  <a:graphicData uri="http://schemas.microsoft.com/office/word/2010/wordprocessingGroup">
                    <wpg:wgp>
                      <wpg:cNvGrpSpPr/>
                      <wpg:grpSpPr>
                        <a:xfrm>
                          <a:off x="0" y="0"/>
                          <a:ext cx="4113360" cy="3816360"/>
                          <a:chOff x="0" y="0"/>
                          <a:chExt cx="4113360" cy="3816360"/>
                        </a:xfrm>
                      </wpg:grpSpPr>
                      <wps:wsp>
                        <wps:cNvPr id="3" name=""/>
                        <wps:cNvSpPr/>
                        <wps:spPr>
                          <a:xfrm>
                            <a:off x="0" y="0"/>
                            <a:ext cx="4113360" cy="381636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g:grpSp>
                        <wpg:cNvGrpSpPr/>
                        <wpg:grpSpPr>
                          <a:xfrm>
                            <a:off x="100800" y="520200"/>
                            <a:ext cx="3974400" cy="77400"/>
                          </a:xfrm>
                        </wpg:grpSpPr>
                        <wps:wsp>
                          <wps:cNvSpPr/>
                          <wps:spPr>
                            <a:xfrm flipV="1">
                              <a:off x="1440" y="72360"/>
                              <a:ext cx="3970080" cy="5040"/>
                            </a:xfrm>
                            <a:prstGeom prst="line">
                              <a:avLst/>
                            </a:prstGeom>
                            <a:ln w="9360">
                              <a:solidFill>
                                <a:srgbClr val="808080"/>
                              </a:solidFill>
                              <a:miter/>
                            </a:ln>
                          </wps:spPr>
                          <wps:style>
                            <a:lnRef idx="0"/>
                            <a:fillRef idx="0"/>
                            <a:effectRef idx="0"/>
                            <a:fontRef idx="minor"/>
                          </wps:style>
                          <wps:bodyPr/>
                        </wps:wsp>
                        <wps:wsp>
                          <wps:cNvSpPr/>
                          <wps:spPr>
                            <a:xfrm>
                              <a:off x="0" y="0"/>
                              <a:ext cx="3974400" cy="1440"/>
                            </a:xfrm>
                            <a:prstGeom prst="line">
                              <a:avLst/>
                            </a:prstGeom>
                            <a:ln w="38160">
                              <a:solidFill>
                                <a:srgbClr val="808080"/>
                              </a:solidFill>
                              <a:miter/>
                            </a:ln>
                          </wps:spPr>
                          <wps:style>
                            <a:lnRef idx="0"/>
                            <a:fillRef idx="0"/>
                            <a:effectRef idx="0"/>
                            <a:fontRef idx="minor"/>
                          </wps:style>
                          <wps:bodyPr/>
                        </wps:wsp>
                      </wpg:grpSp>
                      <wps:wsp>
                        <wps:cNvSpPr txBox="1"/>
                        <wps:spPr>
                          <a:xfrm>
                            <a:off x="0" y="86400"/>
                            <a:ext cx="3961080" cy="278280"/>
                          </a:xfrm>
                          <a:prstGeom prst="rect">
                            <a:avLst/>
                          </a:prstGeom>
                          <a:noFill/>
                          <a:ln w="0">
                            <a:noFill/>
                          </a:ln>
                        </wps:spPr>
                        <wps:txbx>
                          <w:txbxContent>
                            <w:p>
                              <w:pPr>
                                <w:overflowPunct w:val="false"/>
                                <w:bidi w:val="0"/>
                                <w:jc w:val="center"/>
                                <w:rPr/>
                              </w:pPr>
                              <w:r>
                                <w:rPr>
                                  <w:kern w:val="2"/>
                                  <w:sz w:val="24"/>
                                  <w:b/>
                                  <w:szCs w:val="24"/>
                                  <w:rFonts w:ascii="Arial" w:hAnsi="Arial" w:eastAsia="Times New Roman" w:cs="Arial"/>
                                  <w:color w:val="000000"/>
                                  <w:lang w:val="en-US" w:bidi="ar-SA"/>
                                </w:rPr>
                                <w:t>California Generation Capacity by Fuel Type</w:t>
                              </w:r>
                            </w:p>
                          </w:txbxContent>
                        </wps:txbx>
                        <wps:bodyPr wrap="square" anchor="t">
                          <a:noAutofit/>
                        </wps:bodyPr>
                      </wps:wsp>
                      <wpg:grpSp>
                        <wpg:cNvGrpSpPr/>
                        <wpg:grpSpPr>
                          <a:xfrm>
                            <a:off x="221040" y="606960"/>
                            <a:ext cx="3578760" cy="2706480"/>
                          </a:xfrm>
                        </wpg:grpSpPr>
                        <wps:wsp>
                          <wps:cNvPr id="4" name=""/>
                          <wps:cNvSpPr/>
                          <wps:spPr>
                            <a:xfrm>
                              <a:off x="1805760" y="413640"/>
                              <a:ext cx="68040" cy="1146240"/>
                            </a:xfrm>
                            <a:custGeom>
                              <a:avLst/>
                              <a:gdLst/>
                              <a:ahLst/>
                              <a:rect l="l" t="t" r="r" b="b"/>
                              <a:pathLst>
                                <a:path stroke="0" w="733" h="10800">
                                  <a:moveTo>
                                    <a:pt x="10783" y="0"/>
                                  </a:moveTo>
                                  <a:arcTo wR="10800" hR="10800" stAng="-5405414" swAng="233536"/>
                                  <a:lnTo>
                                    <a:pt x="10800" y="10800"/>
                                  </a:lnTo>
                                  <a:close/>
                                </a:path>
                                <a:path fill="none" w="733" h="10800">
                                  <a:moveTo>
                                    <a:pt x="10783" y="0"/>
                                  </a:moveTo>
                                  <a:arcTo wR="10800" hR="10800" stAng="-5405414" swAng="233536"/>
                                </a:path>
                              </a:pathLst>
                            </a:custGeom>
                            <a:solidFill>
                              <a:srgbClr val="ff7979"/>
                            </a:solidFill>
                            <a:ln w="5040">
                              <a:solidFill>
                                <a:srgbClr val="000000"/>
                              </a:solidFill>
                              <a:miter/>
                            </a:ln>
                          </wps:spPr>
                          <wps:style>
                            <a:lnRef idx="0"/>
                            <a:fillRef idx="0"/>
                            <a:effectRef idx="0"/>
                            <a:fontRef idx="minor"/>
                          </wps:style>
                          <wps:bodyPr/>
                        </wps:wsp>
                        <wps:wsp>
                          <wps:cNvPr id="5" name=""/>
                          <wps:cNvSpPr/>
                          <wps:spPr>
                            <a:xfrm>
                              <a:off x="1807200" y="416520"/>
                              <a:ext cx="375840" cy="1143000"/>
                            </a:xfrm>
                            <a:custGeom>
                              <a:avLst/>
                              <a:gdLst/>
                              <a:ahLst/>
                              <a:rect l="l" t="t" r="r" b="b"/>
                              <a:pathLst>
                                <a:path stroke="0" w="4031" h="10776">
                                  <a:moveTo>
                                    <a:pt x="11516" y="24"/>
                                  </a:moveTo>
                                  <a:arcTo wR="10800" hR="10800" stAng="-5171877" swAng="1087000"/>
                                  <a:lnTo>
                                    <a:pt x="10800" y="10800"/>
                                  </a:lnTo>
                                  <a:close/>
                                </a:path>
                                <a:path fill="none" w="4031" h="10776">
                                  <a:moveTo>
                                    <a:pt x="11516" y="24"/>
                                  </a:moveTo>
                                  <a:arcTo wR="10800" hR="10800" stAng="-5171877" swAng="1087000"/>
                                </a:path>
                              </a:pathLst>
                            </a:custGeom>
                            <a:solidFill>
                              <a:srgbClr val="ccffcc"/>
                            </a:solidFill>
                            <a:ln w="5040">
                              <a:solidFill>
                                <a:srgbClr val="000000"/>
                              </a:solidFill>
                              <a:miter/>
                            </a:ln>
                          </wps:spPr>
                          <wps:style>
                            <a:lnRef idx="0"/>
                            <a:fillRef idx="0"/>
                            <a:effectRef idx="0"/>
                            <a:fontRef idx="minor"/>
                          </wps:style>
                          <wps:bodyPr/>
                        </wps:wsp>
                        <wps:wsp>
                          <wps:cNvPr id="6" name=""/>
                          <wps:cNvSpPr/>
                          <wps:spPr>
                            <a:xfrm>
                              <a:off x="1807200" y="496800"/>
                              <a:ext cx="1007280" cy="1585440"/>
                            </a:xfrm>
                            <a:custGeom>
                              <a:avLst/>
                              <a:gdLst/>
                              <a:ahLst/>
                              <a:rect l="l" t="t" r="r" b="b"/>
                              <a:pathLst>
                                <a:path stroke="0" w="10800" h="14937">
                                  <a:moveTo>
                                    <a:pt x="14832" y="781"/>
                                  </a:moveTo>
                                  <a:arcTo wR="10800" hR="10800" stAng="-4084877" swAng="5710385"/>
                                  <a:lnTo>
                                    <a:pt x="10800" y="10800"/>
                                  </a:lnTo>
                                  <a:close/>
                                </a:path>
                                <a:path fill="none" w="10800" h="14937">
                                  <a:moveTo>
                                    <a:pt x="14832" y="781"/>
                                  </a:moveTo>
                                  <a:arcTo wR="10800" hR="10800" stAng="-4084877" swAng="5710385"/>
                                </a:path>
                              </a:pathLst>
                            </a:custGeom>
                            <a:solidFill>
                              <a:srgbClr val="9999ff"/>
                            </a:solidFill>
                            <a:ln w="5040">
                              <a:solidFill>
                                <a:srgbClr val="000000"/>
                              </a:solidFill>
                              <a:miter/>
                            </a:ln>
                          </wps:spPr>
                          <wps:style>
                            <a:lnRef idx="0"/>
                            <a:fillRef idx="0"/>
                            <a:effectRef idx="0"/>
                            <a:fontRef idx="minor"/>
                          </wps:style>
                          <wps:bodyPr/>
                        </wps:wsp>
                        <wps:wsp>
                          <wps:cNvPr id="7" name=""/>
                          <wps:cNvSpPr/>
                          <wps:spPr>
                            <a:xfrm>
                              <a:off x="1807200" y="1560240"/>
                              <a:ext cx="896040" cy="951120"/>
                            </a:xfrm>
                            <a:custGeom>
                              <a:avLst/>
                              <a:gdLst/>
                              <a:ahLst/>
                              <a:rect l="l" t="t" r="r" b="b"/>
                              <a:pathLst>
                                <a:path stroke="0" w="9615" h="8967">
                                  <a:moveTo>
                                    <a:pt x="20415" y="15719"/>
                                  </a:moveTo>
                                  <a:arcTo wR="10800" hR="10800" stAng="1625508" swAng="1742552"/>
                                  <a:lnTo>
                                    <a:pt x="10800" y="10800"/>
                                  </a:lnTo>
                                  <a:close/>
                                </a:path>
                                <a:path fill="none" w="9615" h="8967">
                                  <a:moveTo>
                                    <a:pt x="20415" y="15719"/>
                                  </a:moveTo>
                                  <a:arcTo wR="10800" hR="10800" stAng="1625508" swAng="1742552"/>
                                </a:path>
                              </a:pathLst>
                            </a:custGeom>
                            <a:solidFill>
                              <a:srgbClr val="ccffff"/>
                            </a:solidFill>
                            <a:ln w="5040">
                              <a:solidFill>
                                <a:srgbClr val="000000"/>
                              </a:solidFill>
                              <a:miter/>
                            </a:ln>
                          </wps:spPr>
                          <wps:style>
                            <a:lnRef idx="0"/>
                            <a:fillRef idx="0"/>
                            <a:effectRef idx="0"/>
                            <a:fontRef idx="minor"/>
                          </wps:style>
                          <wps:bodyPr/>
                        </wps:wsp>
                        <wps:wsp>
                          <wps:cNvPr id="8" name=""/>
                          <wps:cNvSpPr/>
                          <wps:spPr>
                            <a:xfrm>
                              <a:off x="799920" y="497880"/>
                              <a:ext cx="1567080" cy="2208600"/>
                            </a:xfrm>
                            <a:custGeom>
                              <a:avLst/>
                              <a:gdLst/>
                              <a:ahLst/>
                              <a:rect l="l" t="t" r="r" b="b"/>
                              <a:pathLst>
                                <a:path stroke="0" w="16818" h="20813">
                                  <a:moveTo>
                                    <a:pt x="16818" y="19768"/>
                                  </a:moveTo>
                                  <a:arcTo wR="10800" hR="10800" stAng="3368060" swAng="11511797"/>
                                  <a:lnTo>
                                    <a:pt x="10800" y="10800"/>
                                  </a:lnTo>
                                  <a:close/>
                                </a:path>
                                <a:path fill="none" w="16818" h="20813">
                                  <a:moveTo>
                                    <a:pt x="16818" y="19768"/>
                                  </a:moveTo>
                                  <a:arcTo wR="10800" hR="10800" stAng="3368060" swAng="11511797"/>
                                </a:path>
                              </a:pathLst>
                            </a:custGeom>
                            <a:solidFill>
                              <a:srgbClr val="660066"/>
                            </a:solidFill>
                            <a:ln w="5040">
                              <a:solidFill>
                                <a:srgbClr val="000000"/>
                              </a:solidFill>
                              <a:miter/>
                            </a:ln>
                          </wps:spPr>
                          <wps:style>
                            <a:lnRef idx="0"/>
                            <a:fillRef idx="0"/>
                            <a:effectRef idx="0"/>
                            <a:fontRef idx="minor"/>
                          </wps:style>
                          <wps:bodyPr/>
                        </wps:wsp>
                        <wps:wsp>
                          <wps:cNvPr id="9" name=""/>
                          <wps:cNvSpPr/>
                          <wps:spPr>
                            <a:xfrm>
                              <a:off x="1429920" y="413640"/>
                              <a:ext cx="377280" cy="1146240"/>
                            </a:xfrm>
                            <a:custGeom>
                              <a:avLst/>
                              <a:gdLst/>
                              <a:ahLst/>
                              <a:rect l="l" t="t" r="r" b="b"/>
                              <a:pathLst>
                                <a:path stroke="0" w="4046" h="10799">
                                  <a:moveTo>
                                    <a:pt x="6754" y="787"/>
                                  </a:moveTo>
                                  <a:arcTo wR="10800" hR="10800" stAng="-6720143" swAng="1314729"/>
                                  <a:lnTo>
                                    <a:pt x="10800" y="10800"/>
                                  </a:lnTo>
                                  <a:close/>
                                </a:path>
                                <a:path fill="none" w="4046" h="10799">
                                  <a:moveTo>
                                    <a:pt x="6754" y="787"/>
                                  </a:moveTo>
                                  <a:arcTo wR="10800" hR="10800" stAng="-6720143" swAng="1314729"/>
                                </a:path>
                              </a:pathLst>
                            </a:custGeom>
                            <a:solidFill>
                              <a:srgbClr val="ffffcc"/>
                            </a:solidFill>
                            <a:ln w="5040">
                              <a:solidFill>
                                <a:srgbClr val="000000"/>
                              </a:solidFill>
                              <a:miter/>
                            </a:ln>
                          </wps:spPr>
                          <wps:style>
                            <a:lnRef idx="0"/>
                            <a:fillRef idx="0"/>
                            <a:effectRef idx="0"/>
                            <a:fontRef idx="minor"/>
                          </wps:style>
                          <wps:bodyPr/>
                        </wps:wsp>
                        <wps:wsp>
                          <wps:cNvPr id="10" name=""/>
                          <wps:cNvSpPr/>
                          <wps:spPr>
                            <a:xfrm>
                              <a:off x="2032560" y="310680"/>
                              <a:ext cx="367560" cy="131400"/>
                            </a:xfrm>
                            <a:custGeom>
                              <a:avLst/>
                              <a:gdLst/>
                              <a:ahLst/>
                              <a:rect l="l" t="t" r="r" b="b"/>
                              <a:pathLst>
                                <a:path w="86" h="27">
                                  <a:moveTo>
                                    <a:pt x="86" y="0"/>
                                  </a:moveTo>
                                  <a:lnTo>
                                    <a:pt x="72" y="0"/>
                                  </a:lnTo>
                                  <a:lnTo>
                                    <a:pt x="0" y="27"/>
                                  </a:lnTo>
                                </a:path>
                              </a:pathLst>
                            </a:custGeom>
                            <a:noFill/>
                            <a:ln w="0">
                              <a:solidFill>
                                <a:srgbClr val="000000"/>
                              </a:solidFill>
                            </a:ln>
                          </wps:spPr>
                          <wps:style>
                            <a:lnRef idx="0"/>
                            <a:fillRef idx="0"/>
                            <a:effectRef idx="0"/>
                            <a:fontRef idx="minor"/>
                          </wps:style>
                          <wps:bodyPr/>
                        </wps:wsp>
                        <wps:wsp>
                          <wps:cNvPr id="11" name=""/>
                          <wps:cNvSpPr/>
                          <wps:spPr>
                            <a:xfrm>
                              <a:off x="1198080" y="379080"/>
                              <a:ext cx="415440" cy="54000"/>
                            </a:xfrm>
                            <a:custGeom>
                              <a:avLst/>
                              <a:gdLst/>
                              <a:ahLst/>
                              <a:rect l="l" t="t" r="r" b="b"/>
                              <a:pathLst>
                                <a:path w="97" h="11">
                                  <a:moveTo>
                                    <a:pt x="0" y="0"/>
                                  </a:moveTo>
                                  <a:lnTo>
                                    <a:pt x="14" y="0"/>
                                  </a:lnTo>
                                  <a:lnTo>
                                    <a:pt x="97" y="11"/>
                                  </a:lnTo>
                                </a:path>
                              </a:pathLst>
                            </a:custGeom>
                            <a:noFill/>
                            <a:ln w="0">
                              <a:solidFill>
                                <a:srgbClr val="000000"/>
                              </a:solidFill>
                            </a:ln>
                          </wps:spPr>
                          <wps:style>
                            <a:lnRef idx="0"/>
                            <a:fillRef idx="0"/>
                            <a:effectRef idx="0"/>
                            <a:fontRef idx="minor"/>
                          </wps:style>
                          <wps:bodyPr/>
                        </wps:wsp>
                        <wps:wsp>
                          <wps:cNvSpPr txBox="1"/>
                          <wps:spPr>
                            <a:xfrm>
                              <a:off x="2665080" y="866880"/>
                              <a:ext cx="913680" cy="34668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Hydroelectric</w:t>
                                </w:r>
                              </w:p>
                              <w:p>
                                <w:pPr>
                                  <w:overflowPunct w:val="false"/>
                                  <w:bidi w:val="0"/>
                                  <w:jc w:val="center"/>
                                  <w:rPr/>
                                </w:pPr>
                                <w:r>
                                  <w:rPr>
                                    <w:kern w:val="2"/>
                                    <w:sz w:val="14"/>
                                    <w:szCs w:val="24"/>
                                    <w:rFonts w:ascii="Arial" w:hAnsi="Arial" w:eastAsia="Times New Roman" w:cs="Arial"/>
                                    <w:color w:val="000000"/>
                                    <w:lang w:val="en-US" w:bidi="ar-SA"/>
                                  </w:rPr>
                                  <w:t>14,117 MW (27%)</w:t>
                                </w:r>
                              </w:p>
                            </w:txbxContent>
                          </wps:txbx>
                          <wps:bodyPr wrap="square" anchor="t">
                            <a:noAutofit/>
                          </wps:bodyPr>
                        </wps:wsp>
                        <wps:wsp>
                          <wps:cNvSpPr txBox="1"/>
                          <wps:spPr>
                            <a:xfrm>
                              <a:off x="2284200" y="173520"/>
                              <a:ext cx="913680" cy="34668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Geothermal</w:t>
                                </w:r>
                              </w:p>
                              <w:p>
                                <w:pPr>
                                  <w:overflowPunct w:val="false"/>
                                  <w:bidi w:val="0"/>
                                  <w:jc w:val="center"/>
                                  <w:rPr/>
                                </w:pPr>
                                <w:r>
                                  <w:rPr>
                                    <w:kern w:val="2"/>
                                    <w:sz w:val="14"/>
                                    <w:szCs w:val="24"/>
                                    <w:rFonts w:ascii="Arial" w:hAnsi="Arial" w:eastAsia="Times New Roman" w:cs="Arial"/>
                                    <w:color w:val="000000"/>
                                    <w:lang w:val="en-US" w:bidi="ar-SA"/>
                                  </w:rPr>
                                  <w:t>2,626 MW (5%)</w:t>
                                </w:r>
                              </w:p>
                            </w:txbxContent>
                          </wps:txbx>
                          <wps:bodyPr wrap="square" anchor="t">
                            <a:noAutofit/>
                          </wps:bodyPr>
                        </wps:wsp>
                        <wps:wsp>
                          <wps:cNvSpPr txBox="1"/>
                          <wps:spPr>
                            <a:xfrm>
                              <a:off x="2436480" y="2166840"/>
                              <a:ext cx="913680" cy="34668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Nuclear</w:t>
                                </w:r>
                              </w:p>
                              <w:p>
                                <w:pPr>
                                  <w:overflowPunct w:val="false"/>
                                  <w:bidi w:val="0"/>
                                  <w:jc w:val="center"/>
                                  <w:rPr/>
                                </w:pPr>
                                <w:r>
                                  <w:rPr>
                                    <w:kern w:val="2"/>
                                    <w:sz w:val="14"/>
                                    <w:szCs w:val="24"/>
                                    <w:rFonts w:ascii="Arial" w:hAnsi="Arial" w:eastAsia="Times New Roman" w:cs="Arial"/>
                                    <w:color w:val="000000"/>
                                    <w:lang w:val="en-US" w:bidi="ar-SA"/>
                                  </w:rPr>
                                  <w:t>4,310 MW (8%)</w:t>
                                </w:r>
                              </w:p>
                            </w:txbxContent>
                          </wps:txbx>
                          <wps:bodyPr wrap="square" anchor="t">
                            <a:noAutofit/>
                          </wps:bodyPr>
                        </wps:wsp>
                        <wps:wsp>
                          <wps:cNvSpPr txBox="1"/>
                          <wps:spPr>
                            <a:xfrm>
                              <a:off x="0" y="1820160"/>
                              <a:ext cx="913680" cy="34668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Oil/Gas</w:t>
                                </w:r>
                              </w:p>
                              <w:p>
                                <w:pPr>
                                  <w:overflowPunct w:val="false"/>
                                  <w:bidi w:val="0"/>
                                  <w:jc w:val="center"/>
                                  <w:rPr/>
                                </w:pPr>
                                <w:r>
                                  <w:rPr>
                                    <w:kern w:val="2"/>
                                    <w:sz w:val="14"/>
                                    <w:szCs w:val="24"/>
                                    <w:rFonts w:ascii="Arial" w:hAnsi="Arial" w:eastAsia="Times New Roman" w:cs="Arial"/>
                                    <w:color w:val="000000"/>
                                    <w:lang w:val="en-US" w:bidi="ar-SA"/>
                                  </w:rPr>
                                  <w:t>28,290 MW (53%)</w:t>
                                </w:r>
                              </w:p>
                            </w:txbxContent>
                          </wps:txbx>
                          <wps:bodyPr wrap="square" anchor="t">
                            <a:noAutofit/>
                          </wps:bodyPr>
                        </wps:wsp>
                        <wps:wsp>
                          <wps:cNvSpPr txBox="1"/>
                          <wps:spPr>
                            <a:xfrm>
                              <a:off x="456480" y="259920"/>
                              <a:ext cx="913680" cy="34668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Renewables</w:t>
                                </w:r>
                              </w:p>
                              <w:p>
                                <w:pPr>
                                  <w:overflowPunct w:val="false"/>
                                  <w:bidi w:val="0"/>
                                  <w:jc w:val="center"/>
                                  <w:rPr/>
                                </w:pPr>
                                <w:r>
                                  <w:rPr>
                                    <w:kern w:val="2"/>
                                    <w:sz w:val="14"/>
                                    <w:szCs w:val="24"/>
                                    <w:rFonts w:ascii="Arial" w:hAnsi="Arial" w:eastAsia="Times New Roman" w:cs="Arial"/>
                                    <w:color w:val="000000"/>
                                    <w:lang w:val="en-US" w:bidi="ar-SA"/>
                                  </w:rPr>
                                  <w:t>3,301 MW (6%)</w:t>
                                </w:r>
                              </w:p>
                            </w:txbxContent>
                          </wps:txbx>
                          <wps:bodyPr wrap="square" anchor="t">
                            <a:noAutofit/>
                          </wps:bodyPr>
                        </wps:wsp>
                        <wps:wsp>
                          <wps:cNvSpPr txBox="1"/>
                          <wps:spPr>
                            <a:xfrm>
                              <a:off x="1370160" y="0"/>
                              <a:ext cx="913680" cy="45864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Coal</w:t>
                                </w:r>
                              </w:p>
                              <w:p>
                                <w:pPr>
                                  <w:overflowPunct w:val="false"/>
                                  <w:bidi w:val="0"/>
                                  <w:jc w:val="center"/>
                                  <w:rPr/>
                                </w:pPr>
                                <w:r>
                                  <w:rPr>
                                    <w:kern w:val="2"/>
                                    <w:sz w:val="14"/>
                                    <w:szCs w:val="24"/>
                                    <w:rFonts w:ascii="Arial" w:hAnsi="Arial" w:eastAsia="Times New Roman" w:cs="Arial"/>
                                    <w:color w:val="000000"/>
                                    <w:lang w:val="en-US" w:bidi="ar-SA"/>
                                  </w:rPr>
                                  <w:t>560 MW (1%)</w:t>
                                </w:r>
                              </w:p>
                              <w:p>
                                <w:pPr>
                                  <w:overflowPunct w:val="false"/>
                                  <w:bidi w:val="0"/>
                                  <w:spacing w:before="0" w:after="120"/>
                                  <w:jc w:val="both"/>
                                  <w:rPr/>
                                </w:pPr>
                                <w:r>
                                  <w:rPr>
                                    <w:kern w:val="2"/>
                                    <w:rFonts w:cs="NotoSans NF" w:eastAsia="Liberation Sans" w:ascii="Liberation Serif" w:hAnsi="Liberation Serif"/>
                                    <w:lang w:bidi="hi-IN" w:val="en-CA"/>
                                  </w:rPr>
                                </w:r>
                              </w:p>
                            </w:txbxContent>
                          </wps:txbx>
                          <wps:bodyPr wrap="square" anchor="t">
                            <a:noAutofit/>
                          </wps:bodyPr>
                        </wps:wsp>
                      </wpg:grpSp>
                      <wps:wsp>
                        <wps:cNvSpPr txBox="1"/>
                        <wps:spPr>
                          <a:xfrm>
                            <a:off x="0" y="3295080"/>
                            <a:ext cx="4113360" cy="468000"/>
                          </a:xfrm>
                          <a:prstGeom prst="rect">
                            <a:avLst/>
                          </a:prstGeom>
                          <a:noFill/>
                          <a:ln w="0">
                            <a:noFill/>
                          </a:ln>
                        </wps:spPr>
                        <wps:txbx>
                          <w:txbxContent>
                            <w:p>
                              <w:pPr>
                                <w:overflowPunct w:val="false"/>
                                <w:bidi w:val="0"/>
                                <w:jc w:val="center"/>
                                <w:rPr/>
                              </w:pPr>
                              <w:r>
                                <w:rPr>
                                  <w:kern w:val="2"/>
                                  <w:sz w:val="14"/>
                                  <w:szCs w:val="24"/>
                                  <w:rFonts w:ascii="Arial" w:hAnsi="Arial" w:eastAsia="Times New Roman" w:cs="Arial"/>
                                  <w:color w:val="000000"/>
                                  <w:lang w:val="en-US" w:bidi="ar-SA"/>
                                </w:rPr>
                                <w:t>Source:  Based upon data from the California Energy Commission</w:t>
                              </w:r>
                            </w:p>
                            <w:p>
                              <w:pPr>
                                <w:overflowPunct w:val="false"/>
                                <w:bidi w:val="0"/>
                                <w:jc w:val="center"/>
                                <w:rPr/>
                              </w:pPr>
                              <w:r>
                                <w:rPr>
                                  <w:kern w:val="2"/>
                                  <w:sz w:val="14"/>
                                  <w:szCs w:val="24"/>
                                  <w:rFonts w:ascii="Arial" w:hAnsi="Arial" w:eastAsia="Times New Roman" w:cs="Arial"/>
                                  <w:color w:val="000000"/>
                                  <w:lang w:val="en-US" w:bidi="ar-SA"/>
                                </w:rPr>
                                <w:t>Database of California Power Plants</w:t>
                              </w:r>
                            </w:p>
                            <w:p>
                              <w:pPr>
                                <w:overflowPunct w:val="false"/>
                                <w:bidi w:val="0"/>
                                <w:jc w:val="center"/>
                                <w:rPr/>
                              </w:pPr>
                              <w:r>
                                <w:rPr>
                                  <w:kern w:val="2"/>
                                  <w:sz w:val="14"/>
                                  <w:szCs w:val="24"/>
                                  <w:rFonts w:ascii="Arial" w:hAnsi="Arial" w:eastAsia="Times New Roman" w:cs="Arial"/>
                                  <w:color w:val="000000"/>
                                  <w:lang w:val="en-US" w:bidi="ar-SA"/>
                                </w:rPr>
                                <w:t>(</w:t>
                              </w:r>
                              <w:r>
                                <w:rPr>
                                  <w:kern w:val="2"/>
                                  <w:sz w:val="14"/>
                                  <w:szCs w:val="24"/>
                                  <w:u w:val="single"/>
                                  <w:rFonts w:ascii="Arial" w:hAnsi="Arial" w:eastAsia="Times New Roman" w:cs="Arial"/>
                                  <w:color w:val="000000"/>
                                  <w:lang w:val="en-US" w:bidi="ar-SA"/>
                                </w:rPr>
                                <w:t>http://www.energy.ca.gov/database/index.html#powerplants</w:t>
                              </w:r>
                              <w:r>
                                <w:rPr>
                                  <w:kern w:val="2"/>
                                  <w:sz w:val="14"/>
                                  <w:szCs w:val="24"/>
                                  <w:rFonts w:ascii="Arial" w:hAnsi="Arial" w:eastAsia="Times New Roman" w:cs="Arial"/>
                                  <w:color w:val="000000"/>
                                  <w:lang w:val="en-US" w:bidi="ar-SA"/>
                                </w:rPr>
                                <w:t>)</w:t>
                              </w:r>
                            </w:p>
                          </w:txbxContent>
                        </wps:txbx>
                        <wps:bodyPr wrap="square" anchor="t">
                          <a:noAutofit/>
                        </wps:bodyPr>
                      </wps:wsp>
                    </wpg:wgp>
                  </a:graphicData>
                </a:graphic>
              </wp:anchor>
            </w:drawing>
          </mc:Choice>
          <mc:Fallback>
            <w:pict>
              <v:group id="shape_0" style="position:absolute;margin-left:54pt;margin-top:9pt;width:323.9pt;height:300.5pt" coordorigin="1080,180" coordsize="6478,6010">
                <v:rect id="shape_0" fillcolor="white" stroked="t" o:allowincell="f" style="position:absolute;left:1080;top:180;width:6477;height:6009;mso-wrap-style:none;v-text-anchor:middle">
                  <v:fill o:detectmouseclick="t" type="solid" color2="black"/>
                  <v:stroke color="black" weight="9360" joinstyle="miter" endcap="flat"/>
                  <v:shadow on="t" obscured="f" color="gray"/>
                  <w10:wrap type="square"/>
                </v:rect>
                <v:group id="shape_0" style="position:absolute;left:1239;top:999;width:6258;height:121">
                  <v:line id="shape_0" from="1241,1113" to="7492,1120" stroked="t" o:allowincell="f" style="position:absolute;flip:y">
                    <v:stroke color="gray" weight="9360" joinstyle="miter" endcap="flat"/>
                    <v:fill o:detectmouseclick="t" on="false"/>
                    <w10:wrap type="square"/>
                  </v:line>
                  <v:line id="shape_0" from="1239,999" to="7497,1000" stroked="t" o:allowincell="f" style="position:absolute">
                    <v:stroke color="gray" weight="381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1080;top:316;width:6237;height:437;mso-wrap-style:square;v-text-anchor:top" type="_x0000_t202">
                  <v:textbox>
                    <w:txbxContent>
                      <w:p>
                        <w:pPr>
                          <w:overflowPunct w:val="false"/>
                          <w:bidi w:val="0"/>
                          <w:jc w:val="center"/>
                          <w:rPr/>
                        </w:pPr>
                        <w:r>
                          <w:rPr>
                            <w:kern w:val="2"/>
                            <w:sz w:val="24"/>
                            <w:b/>
                            <w:szCs w:val="24"/>
                            <w:rFonts w:ascii="Arial" w:hAnsi="Arial" w:eastAsia="Times New Roman" w:cs="Arial"/>
                            <w:color w:val="000000"/>
                            <w:lang w:val="en-US" w:bidi="ar-SA"/>
                          </w:rPr>
                          <w:t>California Generation Capacity by Fuel Type</w:t>
                        </w:r>
                      </w:p>
                    </w:txbxContent>
                  </v:textbox>
                  <v:fill o:detectmouseclick="t" on="false"/>
                  <v:stroke color="#3465a4" joinstyle="round" endcap="flat"/>
                  <w10:wrap type="square"/>
                </v:shape>
                <v:group id="shape_0" style="position:absolute;left:1428;top:1136;width:5636;height:4262">
                  <v:rect id="shape_0" coordsize="733,10800" path="l0,21600xee" fillcolor="#ff7979" stroked="t" o:allowincell="f" style="position:absolute;left:4272;top:1788;width:106;height:1804;mso-wrap-style:none;v-text-anchor:middle">
                    <v:fill o:detectmouseclick="t" type="solid" color2="#008686"/>
                    <v:stroke color="black" weight="5040" joinstyle="miter" endcap="flat"/>
                    <w10:wrap type="square"/>
                  </v:rect>
                  <v:rect id="shape_0" coordorigin="10800,23" coordsize="4031,10776" path="l0,21600xee" fillcolor="#ccffcc" stroked="t" o:allowincell="f" style="position:absolute;left:4274;top:1792;width:591;height:1799;mso-wrap-style:none;v-text-anchor:middle">
                    <v:fill o:detectmouseclick="t" type="solid" color2="#330033"/>
                    <v:stroke color="black" weight="5040" joinstyle="miter" endcap="flat"/>
                    <w10:wrap type="square"/>
                  </v:rect>
                  <v:rect id="shape_0" coordorigin="10800,780" coordsize="10800,14937" path="l0,21600xee" fillcolor="#9999ff" stroked="t" o:allowincell="f" style="position:absolute;left:4274;top:1918;width:1585;height:2496;mso-wrap-style:none;v-text-anchor:middle">
                    <v:fill o:detectmouseclick="t" type="solid" color2="#666600"/>
                    <v:stroke color="black" weight="5040" joinstyle="miter" endcap="flat"/>
                    <w10:wrap type="square"/>
                  </v:rect>
                  <v:rect id="shape_0" coordorigin="10800,10800" coordsize="9615,8967" path="l0,21600xee" fillcolor="#ccffff" stroked="t" o:allowincell="f" style="position:absolute;left:4274;top:3593;width:1410;height:1497;mso-wrap-style:none;v-text-anchor:middle">
                    <v:fill o:detectmouseclick="t" type="solid" color2="#330000"/>
                    <v:stroke color="black" weight="5040" joinstyle="miter" endcap="flat"/>
                    <w10:wrap type="square"/>
                  </v:rect>
                  <v:rect id="shape_0" coordsize="16818,20813" path="l0,21600xee" fillcolor="#660066" stroked="t" o:allowincell="f" style="position:absolute;left:2688;top:1920;width:2467;height:3477;mso-wrap-style:none;v-text-anchor:middle">
                    <v:fill o:detectmouseclick="t" type="solid" color2="#99ff99"/>
                    <v:stroke color="black" weight="5040" joinstyle="miter" endcap="flat"/>
                    <w10:wrap type="square"/>
                  </v:rect>
                  <v:rect id="shape_0" coordsize="4046,10799" path="l0,21600xee" fillcolor="#ffffcc" stroked="t" o:allowincell="f" style="position:absolute;left:3680;top:1788;width:593;height:1804;mso-wrap-style:none;v-text-anchor:middle">
                    <v:fill o:detectmouseclick="t" type="solid" color2="#000033"/>
                    <v:stroke color="black" weight="5040" joinstyle="miter" endcap="flat"/>
                    <w10:wrap type="square"/>
                  </v:rect>
                  <v:shape id="shape_0" coordsize="86,27" path="m86,0l72,0l0,27e" stroked="t" o:allowincell="f" style="position:absolute;left:4629;top:1625;width:578;height:206;mso-wrap-style:none;v-text-anchor:middle">
                    <v:fill o:detectmouseclick="t" on="false"/>
                    <v:stroke color="black" joinstyle="round" endcap="flat"/>
                    <w10:wrap type="square"/>
                  </v:shape>
                  <v:shape id="shape_0" coordsize="97,11" path="m0,0l14,0l97,11e" stroked="t" o:allowincell="f" style="position:absolute;left:3315;top:1733;width:653;height:84;mso-wrap-style:none;v-text-anchor:middle">
                    <v:fill o:detectmouseclick="t" on="false"/>
                    <v:stroke color="black" joinstyle="round" endcap="flat"/>
                    <w10:wrap type="square"/>
                  </v:shape>
                  <v:shape id="shape_0" stroked="f" o:allowincell="f" style="position:absolute;left:5625;top:2501;width:1438;height:545;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Hydroelectric</w:t>
                          </w:r>
                        </w:p>
                        <w:p>
                          <w:pPr>
                            <w:overflowPunct w:val="false"/>
                            <w:bidi w:val="0"/>
                            <w:jc w:val="center"/>
                            <w:rPr/>
                          </w:pPr>
                          <w:r>
                            <w:rPr>
                              <w:kern w:val="2"/>
                              <w:sz w:val="14"/>
                              <w:szCs w:val="24"/>
                              <w:rFonts w:ascii="Arial" w:hAnsi="Arial" w:eastAsia="Times New Roman" w:cs="Arial"/>
                              <w:color w:val="000000"/>
                              <w:lang w:val="en-US" w:bidi="ar-SA"/>
                            </w:rPr>
                            <w:t>14,117 MW (27%)</w:t>
                          </w:r>
                        </w:p>
                      </w:txbxContent>
                    </v:textbox>
                    <v:fill o:detectmouseclick="t" on="false"/>
                    <v:stroke color="#3465a4" joinstyle="round" endcap="flat"/>
                    <w10:wrap type="square"/>
                  </v:shape>
                  <v:shape id="shape_0" stroked="f" o:allowincell="f" style="position:absolute;left:5025;top:1409;width:1438;height:545;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Geothermal</w:t>
                          </w:r>
                        </w:p>
                        <w:p>
                          <w:pPr>
                            <w:overflowPunct w:val="false"/>
                            <w:bidi w:val="0"/>
                            <w:jc w:val="center"/>
                            <w:rPr/>
                          </w:pPr>
                          <w:r>
                            <w:rPr>
                              <w:kern w:val="2"/>
                              <w:sz w:val="14"/>
                              <w:szCs w:val="24"/>
                              <w:rFonts w:ascii="Arial" w:hAnsi="Arial" w:eastAsia="Times New Roman" w:cs="Arial"/>
                              <w:color w:val="000000"/>
                              <w:lang w:val="en-US" w:bidi="ar-SA"/>
                            </w:rPr>
                            <w:t>2,626 MW (5%)</w:t>
                          </w:r>
                        </w:p>
                      </w:txbxContent>
                    </v:textbox>
                    <v:fill o:detectmouseclick="t" on="false"/>
                    <v:stroke color="#3465a4" joinstyle="round" endcap="flat"/>
                    <w10:wrap type="square"/>
                  </v:shape>
                  <v:shape id="shape_0" stroked="f" o:allowincell="f" style="position:absolute;left:5265;top:4548;width:1438;height:545;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Nuclear</w:t>
                          </w:r>
                        </w:p>
                        <w:p>
                          <w:pPr>
                            <w:overflowPunct w:val="false"/>
                            <w:bidi w:val="0"/>
                            <w:jc w:val="center"/>
                            <w:rPr/>
                          </w:pPr>
                          <w:r>
                            <w:rPr>
                              <w:kern w:val="2"/>
                              <w:sz w:val="14"/>
                              <w:szCs w:val="24"/>
                              <w:rFonts w:ascii="Arial" w:hAnsi="Arial" w:eastAsia="Times New Roman" w:cs="Arial"/>
                              <w:color w:val="000000"/>
                              <w:lang w:val="en-US" w:bidi="ar-SA"/>
                            </w:rPr>
                            <w:t>4,310 MW (8%)</w:t>
                          </w:r>
                        </w:p>
                      </w:txbxContent>
                    </v:textbox>
                    <v:fill o:detectmouseclick="t" on="false"/>
                    <v:stroke color="#3465a4" joinstyle="round" endcap="flat"/>
                    <w10:wrap type="square"/>
                  </v:shape>
                  <v:shape id="shape_0" stroked="f" o:allowincell="f" style="position:absolute;left:1428;top:4003;width:1438;height:545;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Oil/Gas</w:t>
                          </w:r>
                        </w:p>
                        <w:p>
                          <w:pPr>
                            <w:overflowPunct w:val="false"/>
                            <w:bidi w:val="0"/>
                            <w:jc w:val="center"/>
                            <w:rPr/>
                          </w:pPr>
                          <w:r>
                            <w:rPr>
                              <w:kern w:val="2"/>
                              <w:sz w:val="14"/>
                              <w:szCs w:val="24"/>
                              <w:rFonts w:ascii="Arial" w:hAnsi="Arial" w:eastAsia="Times New Roman" w:cs="Arial"/>
                              <w:color w:val="000000"/>
                              <w:lang w:val="en-US" w:bidi="ar-SA"/>
                            </w:rPr>
                            <w:t>28,290 MW (53%)</w:t>
                          </w:r>
                        </w:p>
                      </w:txbxContent>
                    </v:textbox>
                    <v:fill o:detectmouseclick="t" on="false"/>
                    <v:stroke color="#3465a4" joinstyle="round" endcap="flat"/>
                    <w10:wrap type="square"/>
                  </v:shape>
                  <v:shape id="shape_0" stroked="f" o:allowincell="f" style="position:absolute;left:2147;top:1545;width:1438;height:545;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Renewables</w:t>
                          </w:r>
                        </w:p>
                        <w:p>
                          <w:pPr>
                            <w:overflowPunct w:val="false"/>
                            <w:bidi w:val="0"/>
                            <w:jc w:val="center"/>
                            <w:rPr/>
                          </w:pPr>
                          <w:r>
                            <w:rPr>
                              <w:kern w:val="2"/>
                              <w:sz w:val="14"/>
                              <w:szCs w:val="24"/>
                              <w:rFonts w:ascii="Arial" w:hAnsi="Arial" w:eastAsia="Times New Roman" w:cs="Arial"/>
                              <w:color w:val="000000"/>
                              <w:lang w:val="en-US" w:bidi="ar-SA"/>
                            </w:rPr>
                            <w:t>3,301 MW (6%)</w:t>
                          </w:r>
                        </w:p>
                      </w:txbxContent>
                    </v:textbox>
                    <v:fill o:detectmouseclick="t" on="false"/>
                    <v:stroke color="#3465a4" joinstyle="round" endcap="flat"/>
                    <w10:wrap type="square"/>
                  </v:shape>
                  <v:shape id="shape_0" stroked="f" o:allowincell="f" style="position:absolute;left:3586;top:1136;width:1438;height:721;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Coal</w:t>
                          </w:r>
                        </w:p>
                        <w:p>
                          <w:pPr>
                            <w:overflowPunct w:val="false"/>
                            <w:bidi w:val="0"/>
                            <w:jc w:val="center"/>
                            <w:rPr/>
                          </w:pPr>
                          <w:r>
                            <w:rPr>
                              <w:kern w:val="2"/>
                              <w:sz w:val="14"/>
                              <w:szCs w:val="24"/>
                              <w:rFonts w:ascii="Arial" w:hAnsi="Arial" w:eastAsia="Times New Roman" w:cs="Arial"/>
                              <w:color w:val="000000"/>
                              <w:lang w:val="en-US" w:bidi="ar-SA"/>
                            </w:rPr>
                            <w:t>560 MW (1%)</w:t>
                          </w:r>
                        </w:p>
                        <w:p>
                          <w:pPr>
                            <w:overflowPunct w:val="false"/>
                            <w:bidi w:val="0"/>
                            <w:spacing w:before="0" w:after="120"/>
                            <w:jc w:val="both"/>
                            <w:rPr/>
                          </w:pPr>
                          <w:r>
                            <w:rPr>
                              <w:kern w:val="2"/>
                              <w:rFonts w:cs="NotoSans NF" w:eastAsia="Liberation Sans" w:ascii="Liberation Serif" w:hAnsi="Liberation Serif"/>
                              <w:lang w:bidi="hi-IN" w:val="en-CA"/>
                            </w:rPr>
                          </w:r>
                        </w:p>
                      </w:txbxContent>
                    </v:textbox>
                    <v:fill o:detectmouseclick="t" on="false"/>
                    <v:stroke color="#3465a4" joinstyle="round" endcap="flat"/>
                    <w10:wrap type="square"/>
                  </v:shape>
                </v:group>
                <v:shape id="shape_0" stroked="f" o:allowincell="f" style="position:absolute;left:1080;top:5369;width:6477;height:736;mso-wrap-style:square;v-text-anchor:top" type="_x0000_t202">
                  <v:textbox>
                    <w:txbxContent>
                      <w:p>
                        <w:pPr>
                          <w:overflowPunct w:val="false"/>
                          <w:bidi w:val="0"/>
                          <w:jc w:val="center"/>
                          <w:rPr/>
                        </w:pPr>
                        <w:r>
                          <w:rPr>
                            <w:kern w:val="2"/>
                            <w:sz w:val="14"/>
                            <w:szCs w:val="24"/>
                            <w:rFonts w:ascii="Arial" w:hAnsi="Arial" w:eastAsia="Times New Roman" w:cs="Arial"/>
                            <w:color w:val="000000"/>
                            <w:lang w:val="en-US" w:bidi="ar-SA"/>
                          </w:rPr>
                          <w:t>Source:  Based upon data from the California Energy Commission</w:t>
                        </w:r>
                      </w:p>
                      <w:p>
                        <w:pPr>
                          <w:overflowPunct w:val="false"/>
                          <w:bidi w:val="0"/>
                          <w:jc w:val="center"/>
                          <w:rPr/>
                        </w:pPr>
                        <w:r>
                          <w:rPr>
                            <w:kern w:val="2"/>
                            <w:sz w:val="14"/>
                            <w:szCs w:val="24"/>
                            <w:rFonts w:ascii="Arial" w:hAnsi="Arial" w:eastAsia="Times New Roman" w:cs="Arial"/>
                            <w:color w:val="000000"/>
                            <w:lang w:val="en-US" w:bidi="ar-SA"/>
                          </w:rPr>
                          <w:t>Database of California Power Plants</w:t>
                        </w:r>
                      </w:p>
                      <w:p>
                        <w:pPr>
                          <w:overflowPunct w:val="false"/>
                          <w:bidi w:val="0"/>
                          <w:jc w:val="center"/>
                          <w:rPr/>
                        </w:pPr>
                        <w:r>
                          <w:rPr>
                            <w:kern w:val="2"/>
                            <w:sz w:val="14"/>
                            <w:szCs w:val="24"/>
                            <w:rFonts w:ascii="Arial" w:hAnsi="Arial" w:eastAsia="Times New Roman" w:cs="Arial"/>
                            <w:color w:val="000000"/>
                            <w:lang w:val="en-US" w:bidi="ar-SA"/>
                          </w:rPr>
                          <w:t>(</w:t>
                        </w:r>
                        <w:r>
                          <w:rPr>
                            <w:kern w:val="2"/>
                            <w:sz w:val="14"/>
                            <w:szCs w:val="24"/>
                            <w:u w:val="single"/>
                            <w:rFonts w:ascii="Arial" w:hAnsi="Arial" w:eastAsia="Times New Roman" w:cs="Arial"/>
                            <w:color w:val="000000"/>
                            <w:lang w:val="en-US" w:bidi="ar-SA"/>
                          </w:rPr>
                          <w:t>http://www.energy.ca.gov/database/index.html#powerplants</w:t>
                        </w:r>
                        <w:r>
                          <w:rPr>
                            <w:kern w:val="2"/>
                            <w:sz w:val="14"/>
                            <w:szCs w:val="24"/>
                            <w:rFonts w:ascii="Arial" w:hAnsi="Arial" w:eastAsia="Times New Roman" w:cs="Arial"/>
                            <w:color w:val="000000"/>
                            <w:lang w:val="en-US" w:bidi="ar-SA"/>
                          </w:rPr>
                          <w:t>)</w:t>
                        </w:r>
                      </w:p>
                    </w:txbxContent>
                  </v:textbox>
                  <v:fill o:detectmouseclick="t" on="false"/>
                  <v:stroke color="#3465a4" joinstyle="round" endcap="flat"/>
                  <w10:wrap type="square"/>
                </v:shape>
              </v:group>
            </w:pict>
          </mc:Fallback>
        </mc:AlternateContent>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b w:val="false"/>
          <w:sz w:val="24"/>
        </w:rPr>
      </w:pPr>
      <w:r>
        <w:rPr>
          <w:rFonts w:cs="Arial" w:ascii="Arial" w:hAnsi="Arial"/>
          <w:b w:val="false"/>
          <w:sz w:val="24"/>
        </w:rPr>
      </w:r>
    </w:p>
    <w:p>
      <w:pPr>
        <w:pStyle w:val="Heading2"/>
        <w:keepNext w:val="false"/>
        <w:keepLines w:val="false"/>
        <w:widowControl w:val="false"/>
        <w:spacing w:before="0" w:after="120"/>
        <w:ind w:hanging="0" w:start="-360"/>
        <w:jc w:val="both"/>
        <w:rPr>
          <w:rFonts w:ascii="Arial" w:hAnsi="Arial" w:cs="Arial"/>
          <w:b w:val="false"/>
          <w:sz w:val="24"/>
        </w:rPr>
      </w:pPr>
      <w:r>
        <w:rPr>
          <w:rFonts w:cs="Arial" w:ascii="Arial" w:hAnsi="Arial"/>
          <w:b w:val="false"/>
          <w:sz w:val="24"/>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r>
    </w:p>
    <w:p>
      <w:pPr>
        <w:pStyle w:val="Heading2"/>
        <w:keepNext w:val="false"/>
        <w:keepLines w:val="false"/>
        <w:widowControl w:val="false"/>
        <w:spacing w:before="0" w:after="120"/>
        <w:ind w:hanging="0" w:start="-360"/>
        <w:jc w:val="both"/>
        <w:rPr>
          <w:rFonts w:ascii="Arial" w:hAnsi="Arial" w:cs="Arial"/>
        </w:rPr>
      </w:pPr>
      <w:r>
        <w:rPr>
          <w:rFonts w:cs="Arial" w:ascii="Arial" w:hAnsi="Arial"/>
        </w:rPr>
        <w:t>Generation and Supply Overview</w:t>
      </w:r>
    </w:p>
    <w:p>
      <w:pPr>
        <w:pStyle w:val="Heading2"/>
        <w:keepNext w:val="false"/>
        <w:keepLines w:val="false"/>
        <w:widowControl w:val="false"/>
        <w:spacing w:before="0" w:after="120"/>
        <w:ind w:hanging="0" w:start="0" w:end="0"/>
        <w:jc w:val="both"/>
        <w:rPr>
          <w:rFonts w:ascii="Arial" w:hAnsi="Arial" w:cs="Arial"/>
          <w:b w:val="false"/>
        </w:rPr>
      </w:pPr>
      <w:r>
        <w:rPr>
          <w:rFonts w:cs="Arial" w:ascii="Arial" w:hAnsi="Arial"/>
        </w:rPr>
        <w:t>California</w:t>
      </w:r>
    </w:p>
    <w:p>
      <w:pPr>
        <w:pStyle w:val="BodyText"/>
        <w:rPr/>
      </w:pPr>
      <w:r>
        <w:rPr>
          <w:rFonts w:cs="Arial" w:ascii="Arial" w:hAnsi="Arial"/>
          <w:b/>
          <w:sz w:val="24"/>
        </w:rPr>
        <w:t>Loads and Resources.</w:t>
      </w:r>
      <w:r>
        <w:rPr>
          <w:rFonts w:cs="Arial" w:ascii="Arial" w:hAnsi="Arial"/>
          <w:sz w:val="24"/>
        </w:rPr>
        <w:t xml:space="preserve"> Between 1996 and 1999, California’s growing economy caused peak period demand to increase by over 5,500 MW.  The State’s population, already the largest in the country, is increasing by 600,000 people annually.  However, new demand for power increased even faster than the rate of growth in the State’s economy. </w:t>
      </w:r>
    </w:p>
    <w:p>
      <w:pPr>
        <w:pStyle w:val="Normal"/>
        <w:rPr>
          <w:rFonts w:ascii="Arial" w:hAnsi="Arial" w:cs="Arial"/>
        </w:rPr>
      </w:pPr>
      <w:r>
        <w:rPr>
          <w:rFonts w:cs="Arial" w:ascii="Arial" w:hAnsi="Arial"/>
        </w:rPr>
        <w:t xml:space="preserve">As the chart below shows, California’s demand is expected to grow faster than new power plants will be built for the next several years (what chart?).  </w:t>
      </w:r>
    </w:p>
    <w:p>
      <w:pPr>
        <w:pStyle w:val="Normal"/>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w:t>
      </w:r>
    </w:p>
    <w:p>
      <w:pPr>
        <w:pStyle w:val="FinancialTableMainHd"/>
        <w:spacing w:before="0" w:after="120"/>
        <w:jc w:val="both"/>
        <w:rPr>
          <w:rFonts w:ascii="Arial" w:hAnsi="Arial" w:cs="Arial"/>
        </w:rPr>
      </w:pPr>
      <w:r>
        <w:rPr>
          <w:rFonts w:cs="Arial"/>
        </w:rPr>
      </w:r>
    </w:p>
    <w:p>
      <w:pPr>
        <w:pStyle w:val="Normal"/>
        <w:widowControl w:val="false"/>
        <w:rPr>
          <w:rFonts w:ascii="Arial" w:hAnsi="Arial" w:cs="Arial"/>
        </w:rPr>
      </w:pPr>
      <w:r>
        <w:rPr>
          <w:rFonts w:cs="Arial" w:ascii="Arial" w:hAnsi="Arial"/>
        </w:rPr>
        <w:t xml:space="preserve">According to the CEC, California’s installed generation capacity totals 53,204 MW.   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widowControl w:val="false"/>
        <w:rPr>
          <w:rFonts w:ascii="Arial" w:hAnsi="Arial" w:cs="Arial"/>
        </w:rPr>
      </w:pPr>
      <w:r>
        <w:rPr>
          <w:rFonts w:cs="Arial" w:ascii="Arial" w:hAnsi="Arial"/>
        </w:rPr>
      </w:r>
    </w:p>
    <w:p>
      <w:pPr>
        <w:pStyle w:val="Normal"/>
        <w:rPr>
          <w:rFonts w:ascii="Arial" w:hAnsi="Arial" w:cs="Arial"/>
        </w:rPr>
      </w:pPr>
      <w:r>
        <w:rPr>
          <w:rFonts w:cs="Arial" w:ascii="Arial" w:hAnsi="Arial"/>
        </w:rPr>
        <w:t xml:space="preserve">The CEC expects that California will have a serious electricity reliability problem from 2002-2005.  The table below shows capacity needs in California during peak hours.  </w:t>
      </w:r>
    </w:p>
    <w:p>
      <w:pPr>
        <w:pStyle w:val="BodyText"/>
        <w:rPr>
          <w:rFonts w:ascii="Arial" w:hAnsi="Arial" w:cs="Arial"/>
        </w:rPr>
      </w:pPr>
      <w:r>
        <w:rPr>
          <w:rFonts w:cs="Arial" w:ascii="Arial" w:hAnsi="Arial"/>
        </w:rPr>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jc w:val="end"/>
              <w:rPr>
                <w:rFonts w:ascii="Arial" w:hAnsi="Arial" w:cs="Arial"/>
                <w:color w:val="000000"/>
              </w:rPr>
            </w:pPr>
            <w:r>
              <w:rPr>
                <w:rFonts w:cs="Arial" w:ascii="Arial" w:hAnsi="Arial"/>
                <w:color w:val="000000"/>
              </w:rPr>
            </w:r>
          </w:p>
        </w:tc>
        <w:tc>
          <w:tcPr>
            <w:tcW w:w="6389" w:type="dxa"/>
            <w:gridSpan w:val="4"/>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rPr>
            </w:pPr>
            <w:r>
              <w:rPr>
                <w:rFonts w:cs="Arial" w:ascii="Arial" w:hAnsi="Arial"/>
                <w:b/>
                <w:color w:val="000000"/>
              </w:rPr>
              <w:t>Temperature Conditions</w:t>
            </w:r>
          </w:p>
        </w:tc>
      </w:tr>
      <w:tr>
        <w:trPr>
          <w:trHeight w:val="384" w:hRule="atLeast"/>
        </w:trPr>
        <w:tc>
          <w:tcPr>
            <w:tcW w:w="1010" w:type="dxa"/>
            <w:tcBorders>
              <w:start w:val="single" w:sz="12" w:space="0" w:color="000000"/>
              <w:end w:val="single" w:sz="12" w:space="0" w:color="000000"/>
            </w:tcBorders>
          </w:tcPr>
          <w:p>
            <w:pPr>
              <w:pStyle w:val="Normal"/>
              <w:snapToGrid w:val="false"/>
              <w:jc w:val="center"/>
              <w:rPr>
                <w:rFonts w:ascii="Arial" w:hAnsi="Arial" w:cs="Arial"/>
                <w:b/>
                <w:color w:val="000000"/>
                <w:sz w:val="28"/>
              </w:rPr>
            </w:pPr>
            <w:r>
              <w:rPr>
                <w:rFonts w:cs="Arial" w:ascii="Arial" w:hAnsi="Arial"/>
                <w:b/>
                <w:color w:val="000000"/>
                <w:sz w:val="28"/>
              </w:rPr>
            </w:r>
          </w:p>
        </w:tc>
        <w:tc>
          <w:tcPr>
            <w:tcW w:w="1263" w:type="dxa"/>
            <w:tcBorders>
              <w:top w:val="single" w:sz="12" w:space="0" w:color="000000"/>
              <w:start w:val="single" w:sz="12"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593"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1-in-5 Year</w:t>
            </w:r>
          </w:p>
          <w:p>
            <w:pPr>
              <w:pStyle w:val="Normal"/>
              <w:jc w:val="center"/>
              <w:rPr>
                <w:rFonts w:ascii="Arial" w:hAnsi="Arial" w:cs="Arial"/>
                <w:b/>
                <w:color w:val="000000"/>
              </w:rPr>
            </w:pPr>
            <w:r>
              <w:rPr>
                <w:rFonts w:cs="Arial" w:ascii="Arial" w:hAnsi="Arial"/>
                <w:b/>
                <w:color w:val="000000"/>
              </w:rPr>
              <w:t>Condition</w:t>
            </w:r>
          </w:p>
        </w:tc>
        <w:tc>
          <w:tcPr>
            <w:tcW w:w="1767"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1-in-10 Year</w:t>
            </w:r>
          </w:p>
          <w:p>
            <w:pPr>
              <w:pStyle w:val="Normal"/>
              <w:jc w:val="center"/>
              <w:rPr>
                <w:rFonts w:ascii="Arial" w:hAnsi="Arial" w:cs="Arial"/>
                <w:b/>
                <w:color w:val="000000"/>
              </w:rPr>
            </w:pPr>
            <w:r>
              <w:rPr>
                <w:rFonts w:cs="Arial" w:ascii="Arial" w:hAnsi="Arial"/>
                <w:b/>
                <w:color w:val="000000"/>
              </w:rPr>
              <w:t>Condition</w:t>
            </w:r>
          </w:p>
        </w:tc>
        <w:tc>
          <w:tcPr>
            <w:tcW w:w="1766" w:type="dxa"/>
            <w:vMerge w:val="restart"/>
            <w:tcBorders>
              <w:top w:val="single" w:sz="12" w:space="0" w:color="000000"/>
              <w:start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1-in-40 Year</w:t>
            </w:r>
          </w:p>
          <w:p>
            <w:pPr>
              <w:pStyle w:val="Normal"/>
              <w:jc w:val="center"/>
              <w:rPr>
                <w:rFonts w:ascii="Arial" w:hAnsi="Arial" w:cs="Arial"/>
                <w:b/>
                <w:color w:val="000000"/>
              </w:rPr>
            </w:pPr>
            <w:r>
              <w:rPr>
                <w:rFonts w:cs="Arial" w:ascii="Arial" w:hAnsi="Arial"/>
                <w:b/>
                <w:color w:val="000000"/>
              </w:rPr>
              <w:t>Condition</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Year</w:t>
            </w:r>
          </w:p>
        </w:tc>
        <w:tc>
          <w:tcPr>
            <w:tcW w:w="1263" w:type="dxa"/>
            <w:tcBorders>
              <w:start w:val="single" w:sz="12"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Average</w:t>
            </w:r>
          </w:p>
        </w:tc>
        <w:tc>
          <w:tcPr>
            <w:tcW w:w="1593" w:type="dxa"/>
            <w:vMerge w:val="continue"/>
            <w:tcBorders>
              <w:top w:val="single" w:sz="12" w:space="0" w:color="000000"/>
              <w:start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767" w:type="dxa"/>
            <w:vMerge w:val="continue"/>
            <w:tcBorders>
              <w:top w:val="single" w:sz="12" w:space="0" w:color="000000"/>
              <w:start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766" w:type="dxa"/>
            <w:vMerge w:val="continue"/>
            <w:tcBorders>
              <w:top w:val="single" w:sz="12" w:space="0" w:color="000000"/>
              <w:start w:val="single" w:sz="6" w:space="0" w:color="000000"/>
              <w:end w:val="single" w:sz="1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jc w:val="center"/>
              <w:rPr>
                <w:rFonts w:ascii="Arial" w:hAnsi="Arial" w:cs="Arial"/>
                <w:color w:val="000000"/>
              </w:rPr>
            </w:pPr>
            <w:r>
              <w:rPr>
                <w:rFonts w:cs="Arial" w:ascii="Arial" w:hAnsi="Arial"/>
                <w:color w:val="000000"/>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rPr>
            </w:pPr>
            <w:r>
              <w:rPr>
                <w:rFonts w:cs="Arial" w:ascii="Arial" w:hAnsi="Arial"/>
                <w:color w:val="000000"/>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rPr>
            </w:pPr>
            <w:r>
              <w:rPr>
                <w:rFonts w:cs="Arial" w:ascii="Arial" w:hAnsi="Arial"/>
                <w:color w:val="000000"/>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jc w:val="center"/>
              <w:rPr>
                <w:rFonts w:ascii="Arial" w:hAnsi="Arial" w:cs="Arial"/>
                <w:color w:val="000000"/>
              </w:rPr>
            </w:pPr>
            <w:r>
              <w:rPr>
                <w:rFonts w:cs="Arial" w:ascii="Arial" w:hAnsi="Arial"/>
                <w:color w:val="000000"/>
              </w:rPr>
              <w:t xml:space="preserve">11,603 </w:t>
            </w:r>
          </w:p>
        </w:tc>
      </w:tr>
    </w:tbl>
    <w:p>
      <w:pPr>
        <w:pStyle w:val="Normal"/>
        <w:rPr>
          <w:rFonts w:ascii="Arial" w:hAnsi="Arial" w:cs="Arial"/>
          <w:sz w:val="16"/>
        </w:rPr>
      </w:pPr>
      <w:r>
        <w:rPr>
          <w:rFonts w:cs="Arial" w:ascii="Arial" w:hAnsi="Arial"/>
          <w:sz w:val="16"/>
        </w:rPr>
        <w:t>Source:  California Electricity Commission</w:t>
      </w:r>
    </w:p>
    <w:p>
      <w:pPr>
        <w:pStyle w:val="BodyText"/>
        <w:rPr>
          <w:rFonts w:ascii="Arial" w:hAnsi="Arial" w:cs="Arial"/>
          <w:sz w:val="24"/>
        </w:rPr>
      </w:pPr>
      <w:r>
        <w:rPr>
          <w:rFonts w:cs="Arial" w:ascii="Arial" w:hAnsi="Arial"/>
          <w:sz w:val="24"/>
        </w:rPr>
      </w:r>
    </w:p>
    <w:p>
      <w:pPr>
        <w:pStyle w:val="BodyText"/>
        <w:rPr>
          <w:rFonts w:ascii="Arial" w:hAnsi="Arial" w:cs="Arial"/>
          <w:sz w:val="24"/>
        </w:rPr>
      </w:pPr>
      <w:r>
        <w:rPr>
          <w:rFonts w:cs="Arial" w:ascii="Arial" w:hAnsi="Arial"/>
          <w:sz w:val="24"/>
        </w:rPr>
        <w:t xml:space="preserve">The capacity shortages anticipated by the CEC have been realized on several occasions during the summer of 2000.  Through August 22, the ISO has regularly declared Stage One and Stage Two Emergencies asking customers to voluntarily curtail their usage.  A Stage One Emergency is when operating reserves fall below seven percent or are expected to do so within two hours. A Stage Two Emergency is when operating reserves fall below five percent or are expected to do so within two hours.  When operating reserves fall below one and one-half percent a Stage Three Emergency will be declared.  The WSCC is considering increasing the criteria for a Stage Three Emergency to a reserve level above one and one-half percent. </w:t>
      </w:r>
    </w:p>
    <w:p>
      <w:pPr>
        <w:pStyle w:val="Normal"/>
        <w:rPr>
          <w:rFonts w:ascii="Arial" w:hAnsi="Arial" w:cs="Arial"/>
        </w:rPr>
      </w:pPr>
      <w:r>
        <w:rPr>
          <w:rFonts w:cs="Arial" w:ascii="Arial" w:hAnsi="Arial"/>
        </w:rPr>
        <w:t>As discussed below, supply may also be affected by the closure of a number of plants that are unable to economically generate in the new marketplace, and by the transmission constraints relevant to the California / Mexico region of the WSCC.</w:t>
      </w:r>
    </w:p>
    <w:p>
      <w:pPr>
        <w:pStyle w:val="Normal"/>
        <w:rPr>
          <w:rFonts w:ascii="Arial" w:hAnsi="Arial" w:cs="Arial"/>
        </w:rPr>
      </w:pPr>
      <w:r>
        <w:rPr>
          <w:rFonts w:cs="Arial" w:ascii="Arial" w:hAnsi="Arial"/>
        </w:rPr>
      </w:r>
    </w:p>
    <w:p>
      <w:pPr>
        <w:pStyle w:val="Heading3"/>
        <w:keepNext w:val="false"/>
        <w:keepLines w:val="false"/>
        <w:widowControl w:val="false"/>
        <w:spacing w:before="0" w:after="120"/>
        <w:ind w:hanging="0" w:start="0"/>
        <w:jc w:val="both"/>
        <w:rPr>
          <w:sz w:val="24"/>
        </w:rPr>
      </w:pPr>
      <w:r>
        <w:rPr>
          <w:sz w:val="24"/>
        </w:rPr>
        <w:t xml:space="preserve">Increasing Cost of Imports.  </w:t>
      </w:r>
      <w:r>
        <w:rPr>
          <w:b w:val="false"/>
          <w:sz w:val="24"/>
        </w:rPr>
        <w:t xml:space="preserve">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California.  This will lead to rising energy rates, and supports the construction of efficient plants such as the Project.  In addition, as the remaining states deregulate and cease to provide plants with reimbursement of stranded capacity costs, plants exporting energy will have to recover these capacity costs in the wholesale market, increasing energy prices as a result.  Also, increasing loads in adjacent states will severely impair the ability of California to import power. </w:t>
      </w:r>
    </w:p>
    <w:p>
      <w:pPr>
        <w:pStyle w:val="Heading3"/>
        <w:keepNext w:val="false"/>
        <w:keepLines w:val="false"/>
        <w:widowControl w:val="false"/>
        <w:spacing w:before="0" w:after="120"/>
        <w:ind w:hanging="0" w:start="0"/>
        <w:jc w:val="both"/>
        <w:rPr>
          <w:sz w:val="24"/>
        </w:rPr>
      </w:pPr>
      <w:r>
        <w:rPr>
          <w:sz w:val="24"/>
        </w:rPr>
        <w:t xml:space="preserve">Potential Closing of Non-Competitive Plants.  </w:t>
      </w:r>
      <w:r>
        <w:rPr>
          <w:b w:val="false"/>
          <w:sz w:val="24"/>
        </w:rPr>
        <w:t>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notwithstanding the recent run up in market prices, 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4"/>
        </w:rPr>
      </w:pPr>
      <w:r>
        <w:rPr>
          <w:sz w:val="24"/>
        </w:rPr>
        <w:t xml:space="preserve">Nuclear Plant Competitiveness.  </w:t>
      </w:r>
      <w:r>
        <w:rPr>
          <w:b w:val="false"/>
          <w:sz w:val="24"/>
        </w:rPr>
        <w:t xml:space="preserve"> California’s installed nuclear capacity totals over 4,200 MW.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but rather continued operation will be governed by market forces. </w:t>
      </w:r>
    </w:p>
    <w:p>
      <w:pPr>
        <w:pStyle w:val="Heading3"/>
        <w:keepNext w:val="false"/>
        <w:keepLines w:val="false"/>
        <w:widowControl w:val="false"/>
        <w:spacing w:before="0" w:after="120"/>
        <w:ind w:hanging="0" w:start="0"/>
        <w:jc w:val="both"/>
        <w:rPr/>
      </w:pPr>
      <w:r>
        <w:rPr>
          <w:sz w:val="24"/>
        </w:rPr>
        <w:t xml:space="preserve">Aging Resource Base.  </w:t>
      </w:r>
      <w:r>
        <w:rPr>
          <w:b w:val="false"/>
          <w:sz w:val="24"/>
        </w:rPr>
        <w:t>California has an aging generation fleet. As the table below shows, 62% of California’s generation in 1998 had been in service at least thirty years. As plants age, plants require more maintenance and are more prone to forced outages, decreasing their competitiveness in a deregulated market.  The increased maintenance time and decreased reliability forces the ISO to increase reserve margins.</w:t>
      </w:r>
    </w:p>
    <w:p>
      <w:pPr>
        <w:pStyle w:val="BodyText"/>
        <w:rPr>
          <w:b/>
          <w:sz w:val="24"/>
          <w:lang w:val="en-CA"/>
        </w:rPr>
      </w:pPr>
      <w:r>
        <w:rPr>
          <w:b/>
          <w:sz w:val="24"/>
          <w:lang w:val="en-CA"/>
        </w:rPr>
        <mc:AlternateContent>
          <mc:Choice Requires="wpg">
            <w:drawing>
              <wp:anchor behindDoc="0" distT="0" distB="0" distL="114935" distR="114935" simplePos="0" locked="0" layoutInCell="0" allowOverlap="1" relativeHeight="6">
                <wp:simplePos x="0" y="0"/>
                <wp:positionH relativeFrom="column">
                  <wp:posOffset>914400</wp:posOffset>
                </wp:positionH>
                <wp:positionV relativeFrom="paragraph">
                  <wp:posOffset>136525</wp:posOffset>
                </wp:positionV>
                <wp:extent cx="3657600" cy="2926080"/>
                <wp:effectExtent l="0" t="5080" r="0" b="81280"/>
                <wp:wrapSquare wrapText="bothSides"/>
                <wp:docPr id="12" name=""/>
                <a:graphic xmlns:a="http://schemas.openxmlformats.org/drawingml/2006/main">
                  <a:graphicData uri="http://schemas.microsoft.com/office/word/2010/wordprocessingGroup">
                    <wpg:wgp>
                      <wpg:cNvGrpSpPr/>
                      <wpg:grpSpPr>
                        <a:xfrm>
                          <a:off x="0" y="0"/>
                          <a:ext cx="3657600" cy="2926080"/>
                          <a:chOff x="0" y="0"/>
                          <a:chExt cx="3657600" cy="2926080"/>
                        </a:xfrm>
                      </wpg:grpSpPr>
                      <wps:wsp>
                        <wps:cNvPr id="13" name=""/>
                        <wps:cNvSpPr/>
                        <wps:spPr>
                          <a:xfrm>
                            <a:off x="113760" y="0"/>
                            <a:ext cx="3474000" cy="292608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s:wsp>
                        <wps:cNvSpPr/>
                        <wps:spPr>
                          <a:xfrm flipV="1">
                            <a:off x="192240" y="415800"/>
                            <a:ext cx="3327480" cy="2520"/>
                          </a:xfrm>
                          <a:prstGeom prst="line">
                            <a:avLst/>
                          </a:prstGeom>
                          <a:ln w="9360">
                            <a:solidFill>
                              <a:srgbClr val="808080"/>
                            </a:solidFill>
                            <a:miter/>
                          </a:ln>
                        </wps:spPr>
                        <wps:style>
                          <a:lnRef idx="0"/>
                          <a:fillRef idx="0"/>
                          <a:effectRef idx="0"/>
                          <a:fontRef idx="minor"/>
                        </wps:style>
                        <wps:bodyPr/>
                      </wps:wsp>
                      <wps:wsp>
                        <wps:cNvSpPr/>
                        <wps:spPr>
                          <a:xfrm>
                            <a:off x="193680" y="348480"/>
                            <a:ext cx="3330720" cy="1440"/>
                          </a:xfrm>
                          <a:prstGeom prst="line">
                            <a:avLst/>
                          </a:prstGeom>
                          <a:ln w="38160">
                            <a:solidFill>
                              <a:srgbClr val="808080"/>
                            </a:solidFill>
                            <a:miter/>
                          </a:ln>
                        </wps:spPr>
                        <wps:style>
                          <a:lnRef idx="0"/>
                          <a:fillRef idx="0"/>
                          <a:effectRef idx="0"/>
                          <a:fontRef idx="minor"/>
                        </wps:style>
                        <wps:bodyPr/>
                      </wps:wsp>
                      <wps:wsp>
                        <wps:cNvPr id="14" name=""/>
                        <wps:cNvSpPr/>
                        <wps:spPr>
                          <a:xfrm>
                            <a:off x="1821960" y="649080"/>
                            <a:ext cx="513720" cy="914400"/>
                          </a:xfrm>
                          <a:custGeom>
                            <a:avLst/>
                            <a:gdLst/>
                            <a:ahLst/>
                            <a:rect l="l" t="t" r="r" b="b"/>
                            <a:pathLst>
                              <a:path stroke="0" w="6183" h="10800">
                                <a:moveTo>
                                  <a:pt x="10765" y="0"/>
                                </a:moveTo>
                                <a:arcTo wR="10800" hR="10800" stAng="-5411216" swAng="2093053"/>
                                <a:lnTo>
                                  <a:pt x="10800" y="10800"/>
                                </a:lnTo>
                                <a:close/>
                              </a:path>
                              <a:path fill="none" w="6183" h="10800">
                                <a:moveTo>
                                  <a:pt x="10765" y="0"/>
                                </a:moveTo>
                                <a:arcTo wR="10800" hR="10800" stAng="-5411216" swAng="2093053"/>
                              </a:path>
                            </a:pathLst>
                          </a:custGeom>
                          <a:solidFill>
                            <a:srgbClr val="ff7979"/>
                          </a:solidFill>
                          <a:ln w="5040">
                            <a:solidFill>
                              <a:srgbClr val="000000"/>
                            </a:solidFill>
                            <a:miter/>
                          </a:ln>
                        </wps:spPr>
                        <wps:style>
                          <a:lnRef idx="0"/>
                          <a:fillRef idx="0"/>
                          <a:effectRef idx="0"/>
                          <a:fontRef idx="minor"/>
                        </wps:style>
                        <wps:bodyPr/>
                      </wps:wsp>
                      <wps:wsp>
                        <wps:cNvPr id="15" name=""/>
                        <wps:cNvSpPr/>
                        <wps:spPr>
                          <a:xfrm>
                            <a:off x="1824840" y="812160"/>
                            <a:ext cx="897840" cy="1338480"/>
                          </a:xfrm>
                          <a:custGeom>
                            <a:avLst/>
                            <a:gdLst/>
                            <a:ahLst/>
                            <a:rect l="l" t="t" r="r" b="b"/>
                            <a:pathLst>
                              <a:path stroke="0" w="10800" h="15804">
                                <a:moveTo>
                                  <a:pt x="16948" y="1921"/>
                                </a:moveTo>
                                <a:arcTo wR="10800" hR="10800" stAng="-3318163" swAng="5710984"/>
                                <a:lnTo>
                                  <a:pt x="10800" y="10800"/>
                                </a:lnTo>
                                <a:close/>
                              </a:path>
                              <a:path fill="none" w="10800" h="15804">
                                <a:moveTo>
                                  <a:pt x="16948" y="1921"/>
                                </a:moveTo>
                                <a:arcTo wR="10800" hR="10800" stAng="-3318163" swAng="5710984"/>
                              </a:path>
                            </a:pathLst>
                          </a:custGeom>
                          <a:solidFill>
                            <a:srgbClr val="ccffcc"/>
                          </a:solidFill>
                          <a:ln w="5040">
                            <a:solidFill>
                              <a:srgbClr val="000000"/>
                            </a:solidFill>
                            <a:miter/>
                          </a:ln>
                        </wps:spPr>
                        <wps:style>
                          <a:lnRef idx="0"/>
                          <a:fillRef idx="0"/>
                          <a:effectRef idx="0"/>
                          <a:fontRef idx="minor"/>
                        </wps:style>
                        <wps:bodyPr/>
                      </wps:wsp>
                      <wps:wsp>
                        <wps:cNvPr id="16" name=""/>
                        <wps:cNvSpPr/>
                        <wps:spPr>
                          <a:xfrm>
                            <a:off x="1559520" y="1563840"/>
                            <a:ext cx="955080" cy="914400"/>
                          </a:xfrm>
                          <a:custGeom>
                            <a:avLst/>
                            <a:gdLst/>
                            <a:ahLst/>
                            <a:rect l="l" t="t" r="r" b="b"/>
                            <a:pathLst>
                              <a:path stroke="0" w="11478" h="10800">
                                <a:moveTo>
                                  <a:pt x="19088" y="17725"/>
                                </a:moveTo>
                                <a:arcTo wR="10800" hR="10800" stAng="2392820" swAng="4038237"/>
                                <a:lnTo>
                                  <a:pt x="10800" y="10800"/>
                                </a:lnTo>
                                <a:close/>
                              </a:path>
                              <a:path fill="none" w="11478" h="10800">
                                <a:moveTo>
                                  <a:pt x="19088" y="17725"/>
                                </a:moveTo>
                                <a:arcTo wR="10800" hR="10800" stAng="2392820" swAng="4038237"/>
                              </a:path>
                            </a:pathLst>
                          </a:custGeom>
                          <a:solidFill>
                            <a:srgbClr val="993366"/>
                          </a:solidFill>
                          <a:ln w="5040">
                            <a:solidFill>
                              <a:srgbClr val="000000"/>
                            </a:solidFill>
                            <a:miter/>
                          </a:ln>
                        </wps:spPr>
                        <wps:style>
                          <a:lnRef idx="0"/>
                          <a:fillRef idx="0"/>
                          <a:effectRef idx="0"/>
                          <a:fontRef idx="minor"/>
                        </wps:style>
                        <wps:bodyPr/>
                      </wps:wsp>
                      <wps:wsp>
                        <wps:cNvPr id="17" name=""/>
                        <wps:cNvSpPr/>
                        <wps:spPr>
                          <a:xfrm>
                            <a:off x="1063080" y="1563840"/>
                            <a:ext cx="762120" cy="874440"/>
                          </a:xfrm>
                          <a:custGeom>
                            <a:avLst/>
                            <a:gdLst/>
                            <a:ahLst/>
                            <a:rect l="l" t="t" r="r" b="b"/>
                            <a:pathLst>
                              <a:path stroke="0" w="9165" h="10317">
                                <a:moveTo>
                                  <a:pt x="7609" y="21118"/>
                                </a:moveTo>
                                <a:arcTo wR="10800" hR="10800" stAng="6431058" swAng="2452922"/>
                                <a:lnTo>
                                  <a:pt x="10800" y="10800"/>
                                </a:lnTo>
                                <a:close/>
                              </a:path>
                              <a:path fill="none" w="9165" h="10317">
                                <a:moveTo>
                                  <a:pt x="7609" y="21118"/>
                                </a:moveTo>
                                <a:arcTo wR="10800" hR="10800" stAng="6431058" swAng="2452922"/>
                              </a:path>
                            </a:pathLst>
                          </a:custGeom>
                          <a:solidFill>
                            <a:srgbClr val="ffffcc"/>
                          </a:solidFill>
                          <a:ln w="5040">
                            <a:solidFill>
                              <a:srgbClr val="000000"/>
                            </a:solidFill>
                            <a:miter/>
                          </a:ln>
                        </wps:spPr>
                        <wps:style>
                          <a:lnRef idx="0"/>
                          <a:fillRef idx="0"/>
                          <a:effectRef idx="0"/>
                          <a:fontRef idx="minor"/>
                        </wps:style>
                        <wps:bodyPr/>
                      </wps:wsp>
                      <wps:wsp>
                        <wps:cNvPr id="18" name=""/>
                        <wps:cNvSpPr/>
                        <wps:spPr>
                          <a:xfrm>
                            <a:off x="926640" y="749160"/>
                            <a:ext cx="898560" cy="1298520"/>
                          </a:xfrm>
                          <a:custGeom>
                            <a:avLst/>
                            <a:gdLst/>
                            <a:ahLst/>
                            <a:rect l="l" t="t" r="r" b="b"/>
                            <a:pathLst>
                              <a:path stroke="0" w="10800" h="15337">
                                <a:moveTo>
                                  <a:pt x="1634" y="16513"/>
                                </a:moveTo>
                                <a:arcTo wR="10800" hR="10800" stAng="8883980" swAng="5697302"/>
                                <a:lnTo>
                                  <a:pt x="10800" y="10800"/>
                                </a:lnTo>
                                <a:close/>
                              </a:path>
                              <a:path fill="none" w="10800" h="15337">
                                <a:moveTo>
                                  <a:pt x="1634" y="16513"/>
                                </a:moveTo>
                                <a:arcTo wR="10800" hR="10800" stAng="8883980" swAng="5697302"/>
                              </a:path>
                            </a:pathLst>
                          </a:custGeom>
                          <a:solidFill>
                            <a:srgbClr val="9999ff"/>
                          </a:solidFill>
                          <a:ln w="5040">
                            <a:solidFill>
                              <a:srgbClr val="000000"/>
                            </a:solidFill>
                            <a:miter/>
                          </a:ln>
                        </wps:spPr>
                        <wps:style>
                          <a:lnRef idx="0"/>
                          <a:fillRef idx="0"/>
                          <a:effectRef idx="0"/>
                          <a:fontRef idx="minor"/>
                        </wps:style>
                        <wps:bodyPr/>
                      </wps:wsp>
                      <wps:wsp>
                        <wps:cNvSpPr txBox="1"/>
                        <wps:spPr>
                          <a:xfrm>
                            <a:off x="70560" y="199440"/>
                            <a:ext cx="3516480" cy="88920"/>
                          </a:xfrm>
                          <a:prstGeom prst="rect">
                            <a:avLst/>
                          </a:prstGeom>
                          <a:noFill/>
                          <a:ln w="0">
                            <a:noFill/>
                          </a:ln>
                        </wps:spPr>
                        <wps:txbx>
                          <w:txbxContent>
                            <w:p>
                              <w:pPr>
                                <w:overflowPunct w:val="false"/>
                                <w:bidi w:val="0"/>
                                <w:jc w:val="center"/>
                                <w:rPr/>
                              </w:pPr>
                              <w:r>
                                <w:rPr>
                                  <w:kern w:val="2"/>
                                  <w:sz w:val="12"/>
                                  <w:szCs w:val="24"/>
                                  <w:rFonts w:ascii="Arial" w:hAnsi="Arial" w:eastAsia="Times New Roman" w:cs="Arial"/>
                                  <w:color w:val="000000"/>
                                  <w:lang w:val="en-US" w:bidi="ar-SA"/>
                                </w:rPr>
                                <w:t>Source:  California Energy Commission</w:t>
                              </w:r>
                            </w:p>
                          </w:txbxContent>
                        </wps:txbx>
                        <wps:bodyPr wrap="square" lIns="0" rIns="0" tIns="0" bIns="0" anchor="t">
                          <a:noAutofit/>
                        </wps:bodyPr>
                      </wps:wsp>
                      <wps:wsp>
                        <wps:cNvSpPr txBox="1"/>
                        <wps:spPr>
                          <a:xfrm>
                            <a:off x="2142360" y="472320"/>
                            <a:ext cx="102240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Older than 50 Yrs</w:t>
                              </w:r>
                            </w:p>
                          </w:txbxContent>
                        </wps:txbx>
                        <wps:bodyPr wrap="square" lIns="0" rIns="0" tIns="0" bIns="0" anchor="t">
                          <a:noAutofit/>
                        </wps:bodyPr>
                      </wps:wsp>
                      <wps:wsp>
                        <wps:cNvSpPr txBox="1"/>
                        <wps:spPr>
                          <a:xfrm>
                            <a:off x="2142360" y="600840"/>
                            <a:ext cx="81144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5,152 MW  (10%)</w:t>
                              </w:r>
                            </w:p>
                          </w:txbxContent>
                        </wps:txbx>
                        <wps:bodyPr wrap="square" lIns="0" rIns="0" tIns="0" bIns="0" anchor="t">
                          <a:noAutofit/>
                        </wps:bodyPr>
                      </wps:wsp>
                      <wps:wsp>
                        <wps:cNvSpPr txBox="1"/>
                        <wps:spPr>
                          <a:xfrm>
                            <a:off x="2829600" y="1333440"/>
                            <a:ext cx="82728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40-50 Yrs Old</w:t>
                              </w:r>
                            </w:p>
                          </w:txbxContent>
                        </wps:txbx>
                        <wps:bodyPr wrap="square" lIns="0" rIns="0" tIns="0" bIns="0" anchor="t">
                          <a:noAutofit/>
                        </wps:bodyPr>
                      </wps:wsp>
                      <wps:wsp>
                        <wps:cNvSpPr txBox="1"/>
                        <wps:spPr>
                          <a:xfrm>
                            <a:off x="2752200" y="1458720"/>
                            <a:ext cx="90540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14,106 MW  (27%)</w:t>
                              </w:r>
                            </w:p>
                          </w:txbxContent>
                        </wps:txbx>
                        <wps:bodyPr wrap="square" lIns="0" rIns="0" tIns="0" bIns="0" anchor="t">
                          <a:noAutofit/>
                        </wps:bodyPr>
                      </wps:wsp>
                      <wps:wsp>
                        <wps:cNvSpPr txBox="1"/>
                        <wps:spPr>
                          <a:xfrm>
                            <a:off x="2127960" y="2484000"/>
                            <a:ext cx="89676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30-40 Yrs Old</w:t>
                              </w:r>
                            </w:p>
                          </w:txbxContent>
                        </wps:txbx>
                        <wps:bodyPr wrap="square" lIns="0" rIns="0" tIns="0" bIns="0" anchor="t">
                          <a:noAutofit/>
                        </wps:bodyPr>
                      </wps:wsp>
                      <wps:wsp>
                        <wps:cNvSpPr txBox="1"/>
                        <wps:spPr>
                          <a:xfrm>
                            <a:off x="2072160" y="2602800"/>
                            <a:ext cx="882000" cy="117360"/>
                          </a:xfrm>
                          <a:prstGeom prst="rect">
                            <a:avLst/>
                          </a:prstGeom>
                          <a:noFill/>
                          <a:ln w="0">
                            <a:noFill/>
                          </a:ln>
                        </wps:spPr>
                        <wps:txbx>
                          <w:txbxContent>
                            <w:p>
                              <w:pPr>
                                <w:overflowPunct w:val="false"/>
                                <w:bidi w:val="0"/>
                                <w:rPr/>
                              </w:pPr>
                              <w:r>
                                <w:rPr>
                                  <w:kern w:val="2"/>
                                  <w:sz w:val="16"/>
                                  <w:szCs w:val="24"/>
                                  <w:rFonts w:ascii="Arial" w:hAnsi="Arial" w:eastAsia="Times New Roman" w:cs="Arial"/>
                                  <w:color w:val="000000"/>
                                  <w:lang w:val="en-US" w:bidi="ar-SA"/>
                                </w:rPr>
                                <w:t>9,818 MW  (18%)</w:t>
                              </w:r>
                            </w:p>
                          </w:txbxContent>
                        </wps:txbx>
                        <wps:bodyPr wrap="square" lIns="0" rIns="0" tIns="0" bIns="0" anchor="t">
                          <a:noAutofit/>
                        </wps:bodyPr>
                      </wps:wsp>
                      <wps:wsp>
                        <wps:cNvSpPr txBox="1"/>
                        <wps:spPr>
                          <a:xfrm>
                            <a:off x="422280" y="2332440"/>
                            <a:ext cx="81036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20-30 Yrs Old</w:t>
                              </w:r>
                            </w:p>
                          </w:txbxContent>
                        </wps:txbx>
                        <wps:bodyPr wrap="square" lIns="0" rIns="0" tIns="0" bIns="0" anchor="t">
                          <a:noAutofit/>
                        </wps:bodyPr>
                      </wps:wsp>
                      <wps:wsp>
                        <wps:cNvSpPr txBox="1"/>
                        <wps:spPr>
                          <a:xfrm>
                            <a:off x="422280" y="2459880"/>
                            <a:ext cx="91296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6,138 MW  (12%)</w:t>
                              </w:r>
                            </w:p>
                          </w:txbxContent>
                        </wps:txbx>
                        <wps:bodyPr wrap="square" lIns="0" rIns="0" tIns="0" bIns="0" anchor="t">
                          <a:noAutofit/>
                        </wps:bodyPr>
                      </wps:wsp>
                      <wps:wsp>
                        <wps:cNvSpPr txBox="1"/>
                        <wps:spPr>
                          <a:xfrm>
                            <a:off x="0" y="1208520"/>
                            <a:ext cx="80820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10-20 Yrs Old</w:t>
                              </w:r>
                            </w:p>
                          </w:txbxContent>
                        </wps:txbx>
                        <wps:bodyPr wrap="square" lIns="0" rIns="0" tIns="0" bIns="0" anchor="t">
                          <a:noAutofit/>
                        </wps:bodyPr>
                      </wps:wsp>
                      <wps:wsp>
                        <wps:cNvSpPr txBox="1"/>
                        <wps:spPr>
                          <a:xfrm>
                            <a:off x="0" y="1315800"/>
                            <a:ext cx="92772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14,035 MW  (26%)</w:t>
                              </w:r>
                            </w:p>
                          </w:txbxContent>
                        </wps:txbx>
                        <wps:bodyPr wrap="square" lIns="0" rIns="0" tIns="0" bIns="0" anchor="t">
                          <a:noAutofit/>
                        </wps:bodyPr>
                      </wps:wsp>
                      <wps:wsp>
                        <wps:cNvSpPr txBox="1"/>
                        <wps:spPr>
                          <a:xfrm>
                            <a:off x="141120" y="461160"/>
                            <a:ext cx="120132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0-10 Yrs Old</w:t>
                              </w:r>
                            </w:p>
                          </w:txbxContent>
                        </wps:txbx>
                        <wps:bodyPr wrap="square" lIns="0" rIns="0" tIns="0" bIns="0" anchor="t">
                          <a:noAutofit/>
                        </wps:bodyPr>
                      </wps:wsp>
                      <wps:wsp>
                        <wps:cNvSpPr txBox="1"/>
                        <wps:spPr>
                          <a:xfrm>
                            <a:off x="720" y="600840"/>
                            <a:ext cx="1441440" cy="117360"/>
                          </a:xfrm>
                          <a:prstGeom prst="rect">
                            <a:avLst/>
                          </a:prstGeom>
                          <a:noFill/>
                          <a:ln w="0">
                            <a:noFill/>
                          </a:ln>
                        </wps:spPr>
                        <wps:txbx>
                          <w:txbxContent>
                            <w:p>
                              <w:pPr>
                                <w:overflowPunct w:val="false"/>
                                <w:bidi w:val="0"/>
                                <w:jc w:val="end"/>
                                <w:rPr/>
                              </w:pPr>
                              <w:r>
                                <w:rPr>
                                  <w:kern w:val="2"/>
                                  <w:sz w:val="16"/>
                                  <w:szCs w:val="24"/>
                                  <w:rFonts w:ascii="Arial" w:hAnsi="Arial" w:eastAsia="Times New Roman" w:cs="Arial"/>
                                  <w:color w:val="000000"/>
                                  <w:lang w:val="en-US" w:bidi="ar-SA"/>
                                </w:rPr>
                                <w:t>3,955 MW  (7%)</w:t>
                              </w:r>
                            </w:p>
                          </w:txbxContent>
                        </wps:txbx>
                        <wps:bodyPr wrap="square" lIns="0" rIns="0" tIns="0" bIns="0" anchor="t">
                          <a:noAutofit/>
                        </wps:bodyPr>
                      </wps:wsp>
                      <wps:wsp>
                        <wps:cNvSpPr txBox="1"/>
                        <wps:spPr>
                          <a:xfrm>
                            <a:off x="140400" y="63360"/>
                            <a:ext cx="3446280" cy="132120"/>
                          </a:xfrm>
                          <a:prstGeom prst="rect">
                            <a:avLst/>
                          </a:prstGeom>
                          <a:noFill/>
                          <a:ln w="0">
                            <a:noFill/>
                          </a:ln>
                        </wps:spPr>
                        <wps:txbx>
                          <w:txbxContent>
                            <w:p>
                              <w:pPr>
                                <w:overflowPunct w:val="false"/>
                                <w:bidi w:val="0"/>
                                <w:jc w:val="center"/>
                                <w:rPr/>
                              </w:pPr>
                              <w:r>
                                <w:rPr>
                                  <w:kern w:val="2"/>
                                  <w:sz w:val="18"/>
                                  <w:b/>
                                  <w:szCs w:val="24"/>
                                  <w:rFonts w:ascii="Arial" w:hAnsi="Arial" w:eastAsia="Times New Roman" w:cs="Arial"/>
                                  <w:color w:val="000000"/>
                                  <w:lang w:val="en-US" w:bidi="ar-SA"/>
                                </w:rPr>
                                <w:t>California’s Power Plants Are Aging</w:t>
                              </w:r>
                            </w:p>
                          </w:txbxContent>
                        </wps:txbx>
                        <wps:bodyPr wrap="square" lIns="0" rIns="0" tIns="0" bIns="0" anchor="t">
                          <a:noAutofit/>
                        </wps:bodyPr>
                      </wps:wsp>
                      <wps:wsp>
                        <wps:cNvSpPr/>
                        <wps:spPr>
                          <a:xfrm>
                            <a:off x="1477800" y="571680"/>
                            <a:ext cx="140400" cy="142920"/>
                          </a:xfrm>
                          <a:prstGeom prst="line">
                            <a:avLst/>
                          </a:prstGeom>
                          <a:ln w="9360">
                            <a:solidFill>
                              <a:srgbClr val="000000"/>
                            </a:solidFill>
                            <a:miter/>
                          </a:ln>
                        </wps:spPr>
                        <wps:style>
                          <a:lnRef idx="0"/>
                          <a:fillRef idx="0"/>
                          <a:effectRef idx="0"/>
                          <a:fontRef idx="minor"/>
                        </wps:style>
                        <wps:bodyPr/>
                      </wps:wsp>
                      <wps:wsp>
                        <wps:cNvPr id="19" name=""/>
                        <wps:cNvSpPr/>
                        <wps:spPr>
                          <a:xfrm>
                            <a:off x="1418040" y="649080"/>
                            <a:ext cx="407160" cy="914400"/>
                          </a:xfrm>
                          <a:custGeom>
                            <a:avLst/>
                            <a:gdLst/>
                            <a:ahLst/>
                            <a:rect l="l" t="t" r="r" b="b"/>
                            <a:pathLst>
                              <a:path stroke="0" w="4899" h="10799">
                                <a:moveTo>
                                  <a:pt x="5900" y="1175"/>
                                </a:moveTo>
                                <a:arcTo wR="10800" hR="10800" stAng="-7018718" swAng="1607502"/>
                                <a:lnTo>
                                  <a:pt x="10800" y="10800"/>
                                </a:lnTo>
                                <a:close/>
                              </a:path>
                              <a:path fill="none" w="4899" h="10799">
                                <a:moveTo>
                                  <a:pt x="5900" y="1175"/>
                                </a:moveTo>
                                <a:arcTo wR="10800" hR="10800" stAng="-7018718" swAng="1607502"/>
                              </a:path>
                            </a:pathLst>
                          </a:custGeom>
                          <a:solidFill>
                            <a:srgbClr val="800080"/>
                          </a:solidFill>
                          <a:ln w="5040">
                            <a:solidFill>
                              <a:srgbClr val="000000"/>
                            </a:solidFill>
                            <a:miter/>
                          </a:ln>
                        </wps:spPr>
                        <wps:style>
                          <a:lnRef idx="0"/>
                          <a:fillRef idx="0"/>
                          <a:effectRef idx="0"/>
                          <a:fontRef idx="minor"/>
                        </wps:style>
                        <wps:bodyPr/>
                      </wps:wsp>
                    </wpg:wgp>
                  </a:graphicData>
                </a:graphic>
              </wp:anchor>
            </w:drawing>
          </mc:Choice>
          <mc:Fallback>
            <w:pict>
              <v:group id="shape_0" style="position:absolute;margin-left:72pt;margin-top:10.75pt;width:288pt;height:230.4pt" coordorigin="1440,215" coordsize="5760,4608">
                <v:rect id="shape_0" fillcolor="white" stroked="t" o:allowincell="f" style="position:absolute;left:1619;top:215;width:5470;height:4607;mso-wrap-style:none;v-text-anchor:middle">
                  <v:fill o:detectmouseclick="t" type="solid" color2="black"/>
                  <v:stroke color="black" weight="9360" joinstyle="miter" endcap="flat"/>
                  <v:shadow on="t" obscured="f" color="gray"/>
                  <w10:wrap type="square"/>
                </v:rect>
                <v:line id="shape_0" from="1743,870" to="6982,873" stroked="t" o:allowincell="f" style="position:absolute;flip:y">
                  <v:stroke color="gray" weight="9360" joinstyle="miter" endcap="flat"/>
                  <v:fill o:detectmouseclick="t" on="false"/>
                  <w10:wrap type="square"/>
                </v:line>
                <v:line id="shape_0" from="1745,764" to="6989,765" stroked="t" o:allowincell="f" style="position:absolute">
                  <v:stroke color="gray" weight="38160" joinstyle="miter" endcap="flat"/>
                  <v:fill o:detectmouseclick="t" on="false"/>
                  <w10:wrap type="square"/>
                </v:line>
                <v:rect id="shape_0" coordsize="6183,10800" path="l0,21600xee" fillcolor="#ff7979" stroked="t" o:allowincell="f" style="position:absolute;left:4309;top:1237;width:808;height:1439;mso-wrap-style:none;v-text-anchor:middle">
                  <v:fill o:detectmouseclick="t" type="solid" color2="#008686"/>
                  <v:stroke color="black" weight="5040" joinstyle="miter" endcap="flat"/>
                  <w10:wrap type="square"/>
                </v:rect>
                <v:rect id="shape_0" coordorigin="10800,1920" coordsize="10800,15804" path="l0,21600xee" fillcolor="#ccffcc" stroked="t" o:allowincell="f" style="position:absolute;left:4314;top:1494;width:1413;height:2107;mso-wrap-style:none;v-text-anchor:middle">
                  <v:fill o:detectmouseclick="t" type="solid" color2="#330033"/>
                  <v:stroke color="black" weight="5040" joinstyle="miter" endcap="flat"/>
                  <w10:wrap type="square"/>
                </v:rect>
                <v:rect id="shape_0" coordorigin="7609,10800" coordsize="11478,10800" path="l0,21600xee" fillcolor="#993366" stroked="t" o:allowincell="f" style="position:absolute;left:3896;top:2678;width:1503;height:1439;mso-wrap-style:none;v-text-anchor:middle">
                  <v:fill o:detectmouseclick="t" type="solid" color2="#66cc99"/>
                  <v:stroke color="black" weight="5040" joinstyle="miter" endcap="flat"/>
                  <w10:wrap type="square"/>
                </v:rect>
                <v:rect id="shape_0" coordorigin="1634,10800" coordsize="9165,10317" path="l0,21600xee" fillcolor="#ffffcc" stroked="t" o:allowincell="f" style="position:absolute;left:3114;top:2678;width:1199;height:1376;mso-wrap-style:none;v-text-anchor:middle">
                  <v:fill o:detectmouseclick="t" type="solid" color2="#000033"/>
                  <v:stroke color="black" weight="5040" joinstyle="miter" endcap="flat"/>
                  <w10:wrap type="square"/>
                </v:rect>
                <v:rect id="shape_0" coordsize="10800,15337" path="l0,21600xee" fillcolor="#9999ff" stroked="t" o:allowincell="f" style="position:absolute;left:2899;top:1395;width:1414;height:2044;mso-wrap-style:none;v-text-anchor:middle">
                  <v:fill o:detectmouseclick="t" type="solid" color2="#666600"/>
                  <v:stroke color="black" weight="5040" joinstyle="miter" endcap="flat"/>
                  <w10:wrap type="square"/>
                </v:rect>
                <v:shape id="shape_0" stroked="f" o:allowincell="f" style="position:absolute;left:1551;top:529;width:5537;height:139;mso-wrap-style:square;v-text-anchor:top" type="_x0000_t202">
                  <v:textbox>
                    <w:txbxContent>
                      <w:p>
                        <w:pPr>
                          <w:overflowPunct w:val="false"/>
                          <w:bidi w:val="0"/>
                          <w:jc w:val="center"/>
                          <w:rPr/>
                        </w:pPr>
                        <w:r>
                          <w:rPr>
                            <w:kern w:val="2"/>
                            <w:sz w:val="12"/>
                            <w:szCs w:val="24"/>
                            <w:rFonts w:ascii="Arial" w:hAnsi="Arial" w:eastAsia="Times New Roman" w:cs="Arial"/>
                            <w:color w:val="000000"/>
                            <w:lang w:val="en-US" w:bidi="ar-SA"/>
                          </w:rPr>
                          <w:t>Source:  California Energy Commission</w:t>
                        </w:r>
                      </w:p>
                    </w:txbxContent>
                  </v:textbox>
                  <v:fill o:detectmouseclick="t" on="false"/>
                  <v:stroke color="#3465a4" joinstyle="round" endcap="flat"/>
                  <w10:wrap type="square"/>
                </v:shape>
                <v:shape id="shape_0" stroked="f" o:allowincell="f" style="position:absolute;left:4814;top:959;width:1609;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Older than 50 Yrs</w:t>
                        </w:r>
                      </w:p>
                    </w:txbxContent>
                  </v:textbox>
                  <v:fill o:detectmouseclick="t" on="false"/>
                  <v:stroke color="#3465a4" joinstyle="round" endcap="flat"/>
                  <w10:wrap type="square"/>
                </v:shape>
                <v:shape id="shape_0" stroked="f" o:allowincell="f" style="position:absolute;left:4814;top:1161;width:1277;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5,152 MW  (10%)</w:t>
                        </w:r>
                      </w:p>
                    </w:txbxContent>
                  </v:textbox>
                  <v:fill o:detectmouseclick="t" on="false"/>
                  <v:stroke color="#3465a4" joinstyle="round" endcap="flat"/>
                  <w10:wrap type="square"/>
                </v:shape>
                <v:shape id="shape_0" stroked="f" o:allowincell="f" style="position:absolute;left:5896;top:2315;width:1302;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40-50 Yrs Old</w:t>
                        </w:r>
                      </w:p>
                    </w:txbxContent>
                  </v:textbox>
                  <v:fill o:detectmouseclick="t" on="false"/>
                  <v:stroke color="#3465a4" joinstyle="round" endcap="flat"/>
                  <w10:wrap type="square"/>
                </v:shape>
                <v:shape id="shape_0" stroked="f" o:allowincell="f" style="position:absolute;left:5774;top:2512;width:1425;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14,106 MW  (27%)</w:t>
                        </w:r>
                      </w:p>
                    </w:txbxContent>
                  </v:textbox>
                  <v:fill o:detectmouseclick="t" on="false"/>
                  <v:stroke color="#3465a4" joinstyle="round" endcap="flat"/>
                  <w10:wrap type="square"/>
                </v:shape>
                <v:shape id="shape_0" stroked="f" o:allowincell="f" style="position:absolute;left:4791;top:4127;width:1411;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30-40 Yrs Old</w:t>
                        </w:r>
                      </w:p>
                    </w:txbxContent>
                  </v:textbox>
                  <v:fill o:detectmouseclick="t" on="false"/>
                  <v:stroke color="#3465a4" joinstyle="round" endcap="flat"/>
                  <w10:wrap type="square"/>
                </v:shape>
                <v:shape id="shape_0" stroked="f" o:allowincell="f" style="position:absolute;left:4703;top:4314;width:1388;height:184;mso-wrap-style:square;v-text-anchor:top" type="_x0000_t202">
                  <v:textbox>
                    <w:txbxContent>
                      <w:p>
                        <w:pPr>
                          <w:overflowPunct w:val="false"/>
                          <w:bidi w:val="0"/>
                          <w:rPr/>
                        </w:pPr>
                        <w:r>
                          <w:rPr>
                            <w:kern w:val="2"/>
                            <w:sz w:val="16"/>
                            <w:szCs w:val="24"/>
                            <w:rFonts w:ascii="Arial" w:hAnsi="Arial" w:eastAsia="Times New Roman" w:cs="Arial"/>
                            <w:color w:val="000000"/>
                            <w:lang w:val="en-US" w:bidi="ar-SA"/>
                          </w:rPr>
                          <w:t>9,818 MW  (18%)</w:t>
                        </w:r>
                      </w:p>
                    </w:txbxContent>
                  </v:textbox>
                  <v:fill o:detectmouseclick="t" on="false"/>
                  <v:stroke color="#3465a4" joinstyle="round" endcap="flat"/>
                  <w10:wrap type="square"/>
                </v:shape>
                <v:shape id="shape_0" stroked="f" o:allowincell="f" style="position:absolute;left:2105;top:3888;width:1275;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20-30 Yrs Old</w:t>
                        </w:r>
                      </w:p>
                    </w:txbxContent>
                  </v:textbox>
                  <v:fill o:detectmouseclick="t" on="false"/>
                  <v:stroke color="#3465a4" joinstyle="round" endcap="flat"/>
                  <w10:wrap type="square"/>
                </v:shape>
                <v:shape id="shape_0" stroked="f" o:allowincell="f" style="position:absolute;left:2105;top:4089;width:1437;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6,138 MW  (12%)</w:t>
                        </w:r>
                      </w:p>
                    </w:txbxContent>
                  </v:textbox>
                  <v:fill o:detectmouseclick="t" on="false"/>
                  <v:stroke color="#3465a4" joinstyle="round" endcap="flat"/>
                  <w10:wrap type="square"/>
                </v:shape>
                <v:shape id="shape_0" stroked="f" o:allowincell="f" style="position:absolute;left:1440;top:2118;width:1272;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10-20 Yrs Old</w:t>
                        </w:r>
                      </w:p>
                    </w:txbxContent>
                  </v:textbox>
                  <v:fill o:detectmouseclick="t" on="false"/>
                  <v:stroke color="#3465a4" joinstyle="round" endcap="flat"/>
                  <w10:wrap type="square"/>
                </v:shape>
                <v:shape id="shape_0" stroked="f" o:allowincell="f" style="position:absolute;left:1440;top:2287;width:1460;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14,035 MW  (26%)</w:t>
                        </w:r>
                      </w:p>
                    </w:txbxContent>
                  </v:textbox>
                  <v:fill o:detectmouseclick="t" on="false"/>
                  <v:stroke color="#3465a4" joinstyle="round" endcap="flat"/>
                  <w10:wrap type="square"/>
                </v:shape>
                <v:shape id="shape_0" stroked="f" o:allowincell="f" style="position:absolute;left:1662;top:941;width:1891;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0-10 Yrs Old</w:t>
                        </w:r>
                      </w:p>
                    </w:txbxContent>
                  </v:textbox>
                  <v:fill o:detectmouseclick="t" on="false"/>
                  <v:stroke color="#3465a4" joinstyle="round" endcap="flat"/>
                  <w10:wrap type="square"/>
                </v:shape>
                <v:shape id="shape_0" stroked="f" o:allowincell="f" style="position:absolute;left:1441;top:1161;width:2269;height:184;mso-wrap-style:square;v-text-anchor:top" type="_x0000_t202">
                  <v:textbox>
                    <w:txbxContent>
                      <w:p>
                        <w:pPr>
                          <w:overflowPunct w:val="false"/>
                          <w:bidi w:val="0"/>
                          <w:jc w:val="end"/>
                          <w:rPr/>
                        </w:pPr>
                        <w:r>
                          <w:rPr>
                            <w:kern w:val="2"/>
                            <w:sz w:val="16"/>
                            <w:szCs w:val="24"/>
                            <w:rFonts w:ascii="Arial" w:hAnsi="Arial" w:eastAsia="Times New Roman" w:cs="Arial"/>
                            <w:color w:val="000000"/>
                            <w:lang w:val="en-US" w:bidi="ar-SA"/>
                          </w:rPr>
                          <w:t>3,955 MW  (7%)</w:t>
                        </w:r>
                      </w:p>
                    </w:txbxContent>
                  </v:textbox>
                  <v:fill o:detectmouseclick="t" on="false"/>
                  <v:stroke color="#3465a4" joinstyle="round" endcap="flat"/>
                  <w10:wrap type="square"/>
                </v:shape>
                <v:shape id="shape_0" stroked="f" o:allowincell="f" style="position:absolute;left:1661;top:315;width:5426;height:207;mso-wrap-style:square;v-text-anchor:top" type="_x0000_t202">
                  <v:textbox>
                    <w:txbxContent>
                      <w:p>
                        <w:pPr>
                          <w:overflowPunct w:val="false"/>
                          <w:bidi w:val="0"/>
                          <w:jc w:val="center"/>
                          <w:rPr/>
                        </w:pPr>
                        <w:r>
                          <w:rPr>
                            <w:kern w:val="2"/>
                            <w:sz w:val="18"/>
                            <w:b/>
                            <w:szCs w:val="24"/>
                            <w:rFonts w:ascii="Arial" w:hAnsi="Arial" w:eastAsia="Times New Roman" w:cs="Arial"/>
                            <w:color w:val="000000"/>
                            <w:lang w:val="en-US" w:bidi="ar-SA"/>
                          </w:rPr>
                          <w:t>California’s Power Plants Are Aging</w:t>
                        </w:r>
                      </w:p>
                    </w:txbxContent>
                  </v:textbox>
                  <v:fill o:detectmouseclick="t" on="false"/>
                  <v:stroke color="#3465a4" joinstyle="round" endcap="flat"/>
                  <w10:wrap type="square"/>
                </v:shape>
                <v:line id="shape_0" from="3767,1115" to="3987,1339" stroked="t" o:allowincell="f" style="position:absolute">
                  <v:stroke color="black" weight="9360" joinstyle="miter" endcap="flat"/>
                  <v:fill o:detectmouseclick="t" on="false"/>
                  <w10:wrap type="square"/>
                </v:line>
                <v:rect id="shape_0" coordsize="4899,10799" path="l0,21600xee" fillcolor="purple" stroked="t" o:allowincell="f" style="position:absolute;left:3673;top:1237;width:640;height:1439;mso-wrap-style:none;v-text-anchor:middle">
                  <v:fill o:detectmouseclick="t" type="solid" color2="#7fff7f"/>
                  <v:stroke color="black" weight="5040" joinstyle="miter" endcap="flat"/>
                  <w10:wrap type="square"/>
                </v:rect>
              </v:group>
            </w:pict>
          </mc:Fallback>
        </mc:AlternateContent>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BodyText"/>
        <w:rPr>
          <w:sz w:val="22"/>
        </w:rPr>
      </w:pPr>
      <w:r>
        <w:rPr>
          <w:sz w:val="22"/>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keepNext w:val="false"/>
        <w:keepLines w:val="false"/>
        <w:widowControl w:val="false"/>
        <w:spacing w:before="0" w:after="120"/>
        <w:ind w:hanging="0" w:start="0"/>
        <w:jc w:val="both"/>
        <w:rPr/>
      </w:pPr>
      <w:r>
        <w:rPr>
          <w:sz w:val="22"/>
        </w:rPr>
        <w:t xml:space="preserve">California QF Contracts.  </w:t>
      </w:r>
      <w:r>
        <w:rPr>
          <w:b w:val="false"/>
          <w:sz w:val="22"/>
        </w:rPr>
        <w:t>The QFs, which account for approximately 25% of the total resource mix for the utilities in California, possess long term contracts where the QFs receive both energy and capacity payments from the California utilities</w:t>
      </w:r>
      <w:r>
        <w:rPr/>
        <w:t xml:space="preserve"> </w:t>
      </w:r>
      <w:bookmarkStart w:id="0" w:name="_1028438829"/>
      <w:bookmarkStart w:id="1" w:name="_1028438797"/>
      <w:bookmarkEnd w:id="0"/>
      <w:bookmarkEnd w:id="1"/>
      <w:r>
        <w:rPr/>
        <w:object w:dxaOrig="8521" w:dyaOrig="445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26.05pt;height:222.8pt" filled="f" o:ole="">
            <v:imagedata r:id="rId6" o:title=""/>
          </v:shape>
          <o:OLEObject Type="Embed" ProgID="" ShapeID="ole_rId5" DrawAspect="Content" ObjectID="_156108298" r:id="rId5"/>
        </w:object>
      </w:r>
      <w:r>
        <w:rPr>
          <w:b w:val="false"/>
          <w:sz w:val="22"/>
        </w:rPr>
        <w:t>.</w:t>
      </w:r>
    </w:p>
    <w:p>
      <w:pPr>
        <w:pStyle w:val="BodyText"/>
        <w:widowControl w:val="false"/>
        <w:rPr/>
      </w:pPr>
      <w:r>
        <w:fldChar w:fldCharType="begin"/>
      </w:r>
      <w:r>
        <w:rPr>
          <w:rFonts w:cs="Arial" w:ascii="Arial" w:hAnsi="Arial"/>
        </w:rPr>
        <w:instrText xml:space="preserve"> QUOTE _x0001_</w:instrText>
      </w:r>
      <w:r>
        <w:rPr>
          <w:rFonts w:cs="Arial" w:ascii="Arial" w:hAnsi="Arial"/>
        </w:rPr>
      </w:r>
      <w:r>
        <w:rPr>
          <w:rFonts w:cs="Arial" w:ascii="Arial" w:hAnsi="Arial"/>
        </w:rPr>
        <w:fldChar w:fldCharType="separate"/>
      </w:r>
      <w:r>
        <w:rPr>
          <w:rFonts w:cs="Arial" w:ascii="Arial" w:hAnsi="Arial"/>
        </w:rPr>
      </w:r>
      <w:r>
        <w:rPr>
          <w:rFonts w:cs="Arial" w:ascii="Arial" w:hAnsi="Arial"/>
        </w:rPr>
      </w:r>
      <w:r>
        <w:rPr>
          <w:rFonts w:cs="Arial" w:ascii="Arial" w:hAnsi="Arial"/>
        </w:rPr>
        <w:fldChar w:fldCharType="end"/>
      </w:r>
      <w:r>
        <w:rPr>
          <w:rFonts w:cs="Arial" w:ascii="Arial" w:hAnsi="Arial"/>
          <w:sz w:val="16"/>
        </w:rPr>
        <w:t>Source: Southern California Edison, PG&amp;E, SDG&amp;E Annual Status Reports</w:t>
      </w:r>
    </w:p>
    <w:p>
      <w:pPr>
        <w:pStyle w:val="BodyText"/>
        <w:widowControl w:val="false"/>
        <w:rPr>
          <w:rFonts w:ascii="Arial" w:hAnsi="Arial" w:cs="Arial"/>
        </w:rPr>
      </w:pPr>
      <w:r>
        <w:rPr>
          <w:rFonts w:cs="Arial" w:ascii="Arial" w:hAnsi="Arial"/>
        </w:rPr>
        <w:t xml:space="preserve">Under a large portion of these contracts, the energy price was fixed at a relatively high level for the first ten years of the contract, reverting to the market price thereafter.  In general, for most QF’s, the energy price components will eventually revert to the PX market price possibly in 2001 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 among other things.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tcPr>
          <w:p>
            <w:pPr>
              <w:pStyle w:val="GenericTableColHd"/>
              <w:keepNext w:val="false"/>
              <w:keepLines w:val="false"/>
              <w:widowControl w:val="false"/>
              <w:spacing w:before="0" w:after="120"/>
              <w:rPr/>
            </w:pPr>
            <w:r>
              <w:rPr/>
              <w:t>License Expiration Year</w:t>
            </w:r>
          </w:p>
        </w:tc>
        <w:tc>
          <w:tcPr>
            <w:tcW w:w="1260" w:type="dxa"/>
            <w:tcBorders>
              <w:bottom w:val="single" w:sz="12" w:space="0" w:color="000000"/>
            </w:tcBorders>
          </w:tcPr>
          <w:p>
            <w:pPr>
              <w:pStyle w:val="GenericTableColHd"/>
              <w:keepNext w:val="false"/>
              <w:keepLines w:val="false"/>
              <w:widowControl w:val="false"/>
              <w:spacing w:before="0" w:after="120"/>
              <w:rPr/>
            </w:pPr>
            <w:r>
              <w:rPr/>
              <w:t>Number</w:t>
            </w:r>
          </w:p>
        </w:tc>
        <w:tc>
          <w:tcPr>
            <w:tcW w:w="1260" w:type="dxa"/>
            <w:tcBorders>
              <w:bottom w:val="single" w:sz="12" w:space="0" w:color="000000"/>
            </w:tcBorders>
          </w:tcPr>
          <w:p>
            <w:pPr>
              <w:pStyle w:val="GenericTableColHd"/>
              <w:keepNext w:val="false"/>
              <w:keepLines w:val="false"/>
              <w:widowControl w:val="false"/>
              <w:spacing w:before="0" w:after="120"/>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rFonts w:ascii="Arial" w:hAnsi="Arial" w:cs="Arial"/>
        </w:rPr>
      </w:pPr>
      <w:r>
        <w:rPr>
          <w:rFonts w:cs="Arial" w:ascii="Arial" w:hAnsi="Arial"/>
        </w:rPr>
        <w:t>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RMR plant availability will also become more interested in new, more efficient and inherently cleaner generating plants.</w:t>
      </w:r>
    </w:p>
    <w:p>
      <w:pPr>
        <w:pStyle w:val="BodyText"/>
        <w:rPr>
          <w:rFonts w:ascii="Arial" w:hAnsi="Arial" w:cs="Arial"/>
        </w:rPr>
      </w:pPr>
      <w:r>
        <w:rPr>
          <w:rFonts w:cs="Arial" w:ascii="Arial" w:hAnsi="Arial"/>
          <w:b/>
        </w:rPr>
        <w:t>Recent Market Developments</w:t>
      </w:r>
    </w:p>
    <w:p>
      <w:pPr>
        <w:pStyle w:val="BodyText"/>
        <w:rPr>
          <w:rFonts w:ascii="Arial" w:hAnsi="Arial" w:cs="Arial"/>
        </w:rPr>
      </w:pPr>
      <w:r>
        <w:rPr>
          <w:rFonts w:cs="Arial" w:ascii="Arial" w:hAnsi="Arial"/>
        </w:rPr>
        <w:t>California has experienced energy prices significantly higher this summer than it expected.  Prices in the PX’s Day Ahead market and the ISO’s real time energy market reached the ISO’s then $750/MW price cap during many hours.  The ISO examined the market to determine the reasons for the high wholesale prices during the months of May and June and concluded that there were several factors contributing including (1) unusually high demand for electricity region-wide due to unseasonably high temperatures and economic growth, (2) a doubling of gas prices over last year, (3) unusually high number of scheduled and forced outages and (4) the fact that no significant new supply has been added in California in recent years.  The combination of very tight supply and demand conditions – in conjunction with very limited ability of consumers to reduce consumption in response to rising prices – created absolute shortages of supply.  Some allege that this supply shortage created the opportunity to exercise market power that some large generators exercised to artificially inflate wholesale prices.</w:t>
      </w:r>
    </w:p>
    <w:p>
      <w:pPr>
        <w:pStyle w:val="BodyText"/>
        <w:rPr>
          <w:rFonts w:ascii="Arial" w:hAnsi="Arial" w:cs="Arial"/>
        </w:rPr>
      </w:pPr>
      <w:r>
        <w:rPr>
          <w:rFonts w:cs="Arial" w:ascii="Arial" w:hAnsi="Arial"/>
        </w:rPr>
        <w:t xml:space="preserve">Rising power prices have caused much uproar throughout the state.  This is especially true in SDG&amp;E’s service territory where prices have doubled since last year.  SDG&amp;E is the only IOU who is not currently subject to the statutory rate freeze, and therefore subject to true market pricing, as it has been paid for all of its stranded costs.  In response to a large public outcry, ISO has temporarily lowered the wholesale price cap from $750/MW to $250/MW.  This cap reduction expires in October.  There are presently no limitations on prices under bilateral contracts with counterparties either inside or outside of California.  </w:t>
      </w:r>
    </w:p>
    <w:p>
      <w:pPr>
        <w:pStyle w:val="BodyText"/>
        <w:rPr>
          <w:rFonts w:ascii="Arial" w:hAnsi="Arial" w:cs="Arial"/>
        </w:rPr>
      </w:pPr>
      <w:r>
        <w:rPr>
          <w:rFonts w:cs="Arial" w:ascii="Arial" w:hAnsi="Arial"/>
        </w:rPr>
        <w:t>In an effort to improve market performance and lower energy costs the ISO and others have recommended actions in addition to lowering the price cap including:</w:t>
      </w:r>
    </w:p>
    <w:p>
      <w:pPr>
        <w:pStyle w:val="BodyText"/>
        <w:numPr>
          <w:ilvl w:val="0"/>
          <w:numId w:val="2"/>
        </w:numPr>
        <w:rPr>
          <w:rFonts w:ascii="Arial" w:hAnsi="Arial" w:cs="Arial"/>
        </w:rPr>
      </w:pPr>
      <w:r>
        <w:rPr>
          <w:rFonts w:cs="Arial" w:ascii="Arial" w:hAnsi="Arial"/>
        </w:rPr>
        <w:t>Accelerating the permitting and siting of generation and transmission projects.</w:t>
      </w:r>
    </w:p>
    <w:p>
      <w:pPr>
        <w:pStyle w:val="BodyText"/>
        <w:numPr>
          <w:ilvl w:val="0"/>
          <w:numId w:val="2"/>
        </w:numPr>
        <w:rPr>
          <w:rFonts w:ascii="Arial" w:hAnsi="Arial" w:cs="Arial"/>
        </w:rPr>
      </w:pPr>
      <w:r>
        <w:rPr>
          <w:rFonts w:cs="Arial" w:ascii="Arial" w:hAnsi="Arial"/>
        </w:rPr>
        <w:t>Placing a priority on developing load responsive programs and developing barriers to load’s ability to hedge.</w:t>
      </w:r>
    </w:p>
    <w:p>
      <w:pPr>
        <w:pStyle w:val="BodyText"/>
        <w:numPr>
          <w:ilvl w:val="0"/>
          <w:numId w:val="2"/>
        </w:numPr>
        <w:rPr>
          <w:rFonts w:ascii="Arial" w:hAnsi="Arial" w:cs="Arial"/>
        </w:rPr>
      </w:pPr>
      <w:r>
        <w:rPr>
          <w:rFonts w:cs="Arial" w:ascii="Arial" w:hAnsi="Arial"/>
        </w:rPr>
        <w:t>Ensuring UDCs have adequate incentives to conduct their wholesale market activities in the most efficient manner possible to keep rates low.</w:t>
      </w:r>
    </w:p>
    <w:p>
      <w:pPr>
        <w:pStyle w:val="BodyText"/>
        <w:numPr>
          <w:ilvl w:val="0"/>
          <w:numId w:val="2"/>
        </w:numPr>
        <w:rPr>
          <w:rFonts w:ascii="Arial" w:hAnsi="Arial" w:cs="Arial"/>
        </w:rPr>
      </w:pPr>
      <w:r>
        <w:rPr>
          <w:rFonts w:cs="Arial" w:ascii="Arial" w:hAnsi="Arial"/>
        </w:rPr>
        <w:t>Promoting robust retail competition by removing key regulatory barriers.</w:t>
      </w:r>
    </w:p>
    <w:p>
      <w:pPr>
        <w:pStyle w:val="Heading-Level2"/>
        <w:ind w:start="0" w:end="0"/>
        <w:rPr>
          <w:rFonts w:ascii="Arial" w:hAnsi="Arial" w:cs="Arial"/>
          <w:sz w:val="24"/>
        </w:rPr>
      </w:pPr>
      <w:r>
        <w:rPr>
          <w:rFonts w:cs="Arial" w:ascii="Arial" w:hAnsi="Arial"/>
          <w:sz w:val="24"/>
        </w:rPr>
        <w:t>Nevada</w:t>
      </w:r>
    </w:p>
    <w:p>
      <w:pPr>
        <w:pStyle w:val="Normal"/>
        <w:rPr>
          <w:rFonts w:ascii="Arial" w:hAnsi="Arial" w:cs="Arial"/>
        </w:rPr>
      </w:pPr>
      <w:r>
        <w:rPr>
          <w:rFonts w:cs="Arial" w:ascii="Arial" w:hAnsi="Arial"/>
        </w:rPr>
        <w:t>Nevada relies on a mix of all major types of energy resources except nuclear power. It depends most heavily on fuel oil, coal, and natural gas, but also draws on hydroelectricity and other renewable forms of energy. Coal supplies 70 percent of Nevada’s electric utility output, natural gas 20 percent, and hydroelectric power 9 percent. Nevada’s average use of energy per person is close to the national average: 359 million Btus per person in Nevada versus 352 million Btus per person for the entire country.</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360" w:hanging="360"/>
      </w:pPr>
      <w:rPr>
        <w:rFonts w:ascii="NewspaperPi BT" w:hAnsi="NewspaperPi BT" w:cs="NewspaperPi BT" w:hint="default"/>
        <w:sz w:val="18"/>
        <w:i w:val="false"/>
        <w:b w:val="false"/>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character" w:styleId="WW8Num1z0">
    <w:name w:val="WW8Num1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NewspaperPi BT;Symbol" w:hAnsi="NewspaperPi BT;Symbol" w:cs="NewspaperPi BT;Symbol"/>
      <w:b w:val="false"/>
      <w:i w:val="false"/>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Level2">
    <w:name w:val="Heading - Level 2"/>
    <w:next w:val="BodyText"/>
    <w:qFormat/>
    <w:pPr>
      <w:keepNext w:val="true"/>
      <w:keepLines/>
      <w:widowControl/>
      <w:bidi w:val="0"/>
      <w:spacing w:before="240" w:after="120"/>
      <w:ind w:hanging="0" w:start="-360" w:end="0"/>
    </w:pPr>
    <w:rPr>
      <w:rFonts w:ascii="Times New Roman" w:hAnsi="Times New Roman" w:eastAsia="Times New Roman" w:cs="Times New Roman"/>
      <w:b/>
      <w:smallCaps/>
      <w:color w:val="800000"/>
      <w:spacing w:val="30"/>
      <w:sz w:val="28"/>
      <w:szCs w:val="20"/>
      <w:lang w:val="en-US" w:bidi="ar-SA" w:eastAsia="zh-CN"/>
    </w:rPr>
  </w:style>
  <w:style w:type="paragraph" w:styleId="Heading-Level3">
    <w:name w:val="Heading - Level 3"/>
    <w:next w:val="BodyText"/>
    <w:qFormat/>
    <w:pPr>
      <w:keepNext w:val="true"/>
      <w:keepLines/>
      <w:widowControl/>
      <w:bidi w:val="0"/>
      <w:spacing w:before="80" w:after="120"/>
    </w:pPr>
    <w:rPr>
      <w:rFonts w:ascii="Arial" w:hAnsi="Arial" w:eastAsia="Times New Roman" w:cs="Arial"/>
      <w:b/>
      <w:color w:val="auto"/>
      <w:sz w:val="21"/>
      <w:szCs w:val="20"/>
      <w:lang w:val="en-US" w:bidi="ar-SA" w:eastAsia="zh-CN"/>
    </w:rPr>
  </w:style>
  <w:style w:type="paragraph" w:styleId="heding4">
    <w:name w:val="heding 4"/>
    <w:basedOn w:val="Normal"/>
    <w:qFormat/>
    <w:pPr>
      <w:spacing w:before="0" w:after="240"/>
      <w:jc w:val="both"/>
    </w:pPr>
    <w:rPr>
      <w:sz w:val="22"/>
      <w:szCs w:val="20"/>
    </w:rPr>
  </w:style>
  <w:style w:type="paragraph" w:styleId="Heading-Level1">
    <w:name w:val="Heading - Level 1"/>
    <w:next w:val="Heading-Level2"/>
    <w:qFormat/>
    <w:pPr>
      <w:keepNext w:val="true"/>
      <w:keepLines/>
      <w:pageBreakBefore/>
      <w:widowControl/>
      <w:bidi w:val="0"/>
      <w:spacing w:before="0" w:after="120"/>
      <w:ind w:hanging="0" w:start="-720" w:end="0"/>
    </w:pPr>
    <w:rPr>
      <w:rFonts w:ascii="Times New Roman" w:hAnsi="Times New Roman" w:eastAsia="Times New Roman" w:cs="Times New Roman"/>
      <w:b/>
      <w:smallCaps/>
      <w:color w:val="auto"/>
      <w:spacing w:val="20"/>
      <w:kern w:val="2"/>
      <w:sz w:val="36"/>
      <w:szCs w:val="20"/>
      <w:lang w:val="en-US" w:eastAsia="en-CA" w:bidi="ar-SA"/>
    </w:rPr>
  </w:style>
  <w:style w:type="paragraph" w:styleId="Bullet1-Heavy">
    <w:name w:val="Bullet 1 - Heavy"/>
    <w:next w:val="Normal"/>
    <w:qFormat/>
    <w:pPr>
      <w:widowControl/>
      <w:numPr>
        <w:ilvl w:val="0"/>
        <w:numId w:val="4"/>
      </w:numPr>
      <w:tabs>
        <w:tab w:val="clear" w:pos="720"/>
        <w:tab w:val="left" w:pos="302" w:leader="none"/>
      </w:tabs>
      <w:bidi w:val="0"/>
      <w:spacing w:before="60" w:after="60"/>
      <w:ind w:hanging="302" w:start="302" w:end="0"/>
      <w:jc w:val="both"/>
    </w:pPr>
    <w:rPr>
      <w:rFonts w:ascii="Arial" w:hAnsi="Arial" w:eastAsia="Times New Roman" w:cs="Arial"/>
      <w:b/>
      <w:color w:val="auto"/>
      <w:sz w:val="21"/>
      <w:szCs w:val="20"/>
      <w:lang w:val="en-US" w:bidi="ar-SA" w:eastAsia="zh-CN"/>
    </w:rPr>
  </w:style>
  <w:style w:type="paragraph" w:styleId="Bullet1-Soft">
    <w:name w:val="Bullet 1 - Soft"/>
    <w:basedOn w:val="Bullet1-Heavy"/>
    <w:next w:val="Normal"/>
    <w:qFormat/>
    <w:pPr/>
    <w:rPr>
      <w:rFonts w:ascii="Times New Roman" w:hAnsi="Times New Roman" w:cs="Times New Roman"/>
      <w:b w:val="false"/>
      <w:sz w:val="22"/>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bidi="ar-SA" w:eastAsia="zh-C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bidi="ar-SA" w:eastAsia="zh-C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bidi="ar-SA" w:eastAsia="zh-C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bidi="ar-SA" w:eastAsia="zh-CN"/>
    </w:rPr>
  </w:style>
  <w:style w:type="paragraph" w:styleId="Plain">
    <w:name w:val="Plain"/>
    <w:basedOn w:val="Normal"/>
    <w:qFormat/>
    <w:pPr/>
    <w:rPr>
      <w:szCs w:val="20"/>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bidi="ar-SA" w:eastAsia="zh-C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2000-08-28T02:01:00Z</dcterms:created>
  <dc:creator>Andrew J. Kelemen</dc:creator>
  <dc:description/>
  <dc:language>en-CA</dc:language>
  <cp:lastModifiedBy>Kate Symes</cp:lastModifiedBy>
  <cp:lastPrinted>2000-08-29T18:55:00Z</cp:lastPrinted>
  <dcterms:modified xsi:type="dcterms:W3CDTF">2000-08-30T18:49:00Z</dcterms:modified>
  <cp:revision>5</cp:revision>
  <dc:subject/>
  <dc:title>EXHIBIT 1:  CALIFORNIA AND NEVADA MARKET OVERVIEW</dc:title>
</cp:coreProperties>
</file>