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3">
                <wp:simplePos x="0" y="0"/>
                <wp:positionH relativeFrom="column">
                  <wp:posOffset>1024255</wp:posOffset>
                </wp:positionH>
                <wp:positionV relativeFrom="paragraph">
                  <wp:posOffset>28575</wp:posOffset>
                </wp:positionV>
                <wp:extent cx="4352290" cy="320675"/>
                <wp:effectExtent l="0" t="0" r="0" b="0"/>
                <wp:wrapNone/>
                <wp:docPr id="1" name="Frame1"/>
                <a:graphic xmlns:a="http://schemas.openxmlformats.org/drawingml/2006/main">
                  <a:graphicData uri="http://schemas.microsoft.com/office/word/2010/wordprocessingShape">
                    <wps:wsp>
                      <wps:cNvSpPr txBox="1"/>
                      <wps:spPr>
                        <a:xfrm>
                          <a:off x="0" y="0"/>
                          <a:ext cx="4352290" cy="320675"/>
                        </a:xfrm>
                        <a:prstGeom prst="rect"/>
                        <a:solidFill>
                          <a:srgbClr val="FFFFFF"/>
                        </a:solidFill>
                        <a:ln w="9525">
                          <a:solidFill>
                            <a:srgbClr val="000000"/>
                          </a:solidFill>
                        </a:ln>
                      </wps:spPr>
                      <wps:txbx>
                        <w:txbxContent>
                          <w:p>
                            <w:pPr>
                              <w:pStyle w:val="Normal"/>
                              <w:jc w:val="center"/>
                              <w:rPr>
                                <w:b/>
                                <w:bCs/>
                              </w:rPr>
                            </w:pPr>
                            <w:r>
                              <w:rPr>
                                <w:b/>
                                <w:bCs/>
                              </w:rPr>
                              <w:t>EIM Fundamentals Market Wrap- PULP</w:t>
                            </w:r>
                          </w:p>
                          <w:p>
                            <w:pPr>
                              <w:pStyle w:val="Normal"/>
                              <w:jc w:val="center"/>
                              <w:rPr>
                                <w:b/>
                                <w:bCs/>
                              </w:rPr>
                            </w:pPr>
                            <w:r>
                              <w:rPr>
                                <w:b/>
                                <w:bCs/>
                              </w:rPr>
                            </w:r>
                          </w:p>
                        </w:txbxContent>
                      </wps:txbx>
                      <wps:bodyPr anchor="t" lIns="91440" tIns="45720" rIns="91440" bIns="45720">
                        <a:noAutofit/>
                      </wps:bodyPr>
                    </wps:wsp>
                  </a:graphicData>
                </a:graphic>
              </wp:anchor>
            </w:drawing>
          </mc:Choice>
          <mc:Fallback>
            <w:pict>
              <v:rect fillcolor="#FFFFFF" strokecolor="#000000" strokeweight="0pt" style="position:absolute;rotation:-0;width:342.7pt;height:25.25pt;mso-wrap-distance-left:9.05pt;mso-wrap-distance-right:9.05pt;mso-wrap-distance-top:0pt;mso-wrap-distance-bottom:0pt;margin-top:2.25pt;mso-position-vertical-relative:text;margin-left:80.65pt;mso-position-horizontal-relative:text">
                <v:textbox>
                  <w:txbxContent>
                    <w:p>
                      <w:pPr>
                        <w:pStyle w:val="Normal"/>
                        <w:jc w:val="center"/>
                        <w:rPr>
                          <w:b/>
                          <w:bCs/>
                        </w:rPr>
                      </w:pPr>
                      <w:r>
                        <w:rPr>
                          <w:b/>
                          <w:bCs/>
                        </w:rPr>
                        <w:t>EIM Fundamentals Market Wrap- PULP</w:t>
                      </w:r>
                    </w:p>
                    <w:p>
                      <w:pPr>
                        <w:pStyle w:val="Normal"/>
                        <w:jc w:val="center"/>
                        <w:rPr>
                          <w:b/>
                          <w:bCs/>
                        </w:rPr>
                      </w:pPr>
                      <w:r>
                        <w:rPr>
                          <w:b/>
                          <w:bCs/>
                        </w:rPr>
                      </w:r>
                    </w:p>
                  </w:txbxContent>
                </v:textbox>
                <w10:wrap type="none"/>
              </v:rect>
            </w:pict>
          </mc:Fallback>
        </mc:AlternateContent>
      </w:r>
    </w:p>
    <w:p>
      <w:pPr>
        <w:pStyle w:val="Header"/>
        <w:tabs>
          <w:tab w:val="clear" w:pos="4320"/>
          <w:tab w:val="clear" w:pos="8640"/>
        </w:tabs>
        <w:rPr/>
      </w:pPr>
      <w:r>
        <w:rPr/>
      </w:r>
    </w:p>
    <w:p>
      <w:pPr>
        <w:pStyle w:val="Heading2"/>
        <w:ind w:hanging="0" w:start="0"/>
        <w:rPr>
          <w:sz w:val="22"/>
        </w:rPr>
      </w:pPr>
      <w:r>
        <w:rPr>
          <w:sz w:val="22"/>
        </w:rPr>
        <w:t>Week of July 23, 2001</w:t>
      </w:r>
    </w:p>
    <w:p>
      <w:pPr>
        <w:pStyle w:val="Header"/>
        <w:tabs>
          <w:tab w:val="clear" w:pos="4320"/>
          <w:tab w:val="clear" w:pos="8640"/>
        </w:tabs>
        <w:rPr>
          <w:sz w:val="22"/>
        </w:rPr>
      </w:pPr>
      <w:r>
        <w:rPr>
          <w:sz w:val="22"/>
        </w:rPr>
      </w:r>
    </w:p>
    <w:p>
      <w:pPr>
        <w:pStyle w:val="Normal"/>
        <w:rPr/>
      </w:pPr>
      <w:r>
        <w:rPr/>
      </w:r>
    </w:p>
    <w:p>
      <w:pPr>
        <w:pStyle w:val="BodyText"/>
        <w:rPr/>
      </w:pPr>
      <w:r>
        <w:rPr/>
        <w:t xml:space="preserve">This past week was relatively quiet in the pulp industry with the most significant news being related to corporate earnings. As expected, major industry players like Ence, Stora Enso, and Weyerhaeuser reported lower earnings for the second quarter as pulp prices continued their downward slide.  Kimberly Clark, the only exception to this trend, reported flat profits. </w:t>
      </w:r>
    </w:p>
    <w:p>
      <w:pPr>
        <w:pStyle w:val="Normal"/>
        <w:rPr>
          <w:sz w:val="20"/>
        </w:rPr>
      </w:pPr>
      <w:r>
        <w:rPr>
          <w:sz w:val="20"/>
        </w:rPr>
      </w:r>
    </w:p>
    <w:p>
      <w:pPr>
        <w:pStyle w:val="Normal"/>
        <w:rPr>
          <w:sz w:val="20"/>
        </w:rPr>
      </w:pPr>
      <w:r>
        <w:rPr>
          <w:sz w:val="20"/>
        </w:rPr>
        <w:t>In other news….</w:t>
      </w:r>
    </w:p>
    <w:p>
      <w:pPr>
        <w:pStyle w:val="Normal"/>
        <w:rPr>
          <w:sz w:val="20"/>
        </w:rPr>
      </w:pPr>
      <w:r>
        <w:rPr>
          <w:sz w:val="20"/>
        </w:rPr>
      </w:r>
    </w:p>
    <w:p>
      <w:pPr>
        <w:pStyle w:val="Normal"/>
        <w:rPr>
          <w:b/>
          <w:bCs/>
          <w:sz w:val="20"/>
        </w:rPr>
      </w:pPr>
      <w:r>
        <w:rPr>
          <w:b/>
          <w:bCs/>
          <w:sz w:val="20"/>
        </w:rPr>
        <w:t>Downtime</w:t>
      </w:r>
    </w:p>
    <w:p>
      <w:pPr>
        <w:pStyle w:val="Normal"/>
        <w:rPr/>
      </w:pPr>
      <w:r>
        <w:rPr>
          <w:sz w:val="20"/>
        </w:rPr>
        <w:t>Tembec Inc. is planning to take most of its pulp downtime during the month of August. The company had announced a major downtime of about 100,000 tonnes since early July. This temporary shutdown is part of a stream of downtimes announced by many pulp producers in an effort to stop the price free-fall. The overall downtime announced so far for the third quarter amounts to 836,000 tonnes, which is about 3% of Norscan market pulp capacity.  More downtime is expected as the possibility of a recovery in pulp prices during 2001 diminishes.  The industry has been facing decreased demand for paper and it’s about time that producers understand that prices will not bounce back until some serious action is taken.  (</w:t>
      </w:r>
      <w:r>
        <w:rPr>
          <w:i/>
          <w:iCs/>
          <w:sz w:val="18"/>
        </w:rPr>
        <w:t>See table below for major downtime announced for July)</w:t>
      </w:r>
    </w:p>
    <w:p>
      <w:pPr>
        <w:pStyle w:val="Normal"/>
        <w:rPr>
          <w:i/>
          <w:i/>
          <w:iCs/>
          <w:sz w:val="20"/>
        </w:rPr>
      </w:pPr>
      <w:r>
        <w:rPr>
          <w:i/>
          <w:iCs/>
          <w:sz w:val="20"/>
        </w:rPr>
      </w:r>
    </w:p>
    <w:p>
      <w:pPr>
        <w:pStyle w:val="Heading2"/>
        <w:ind w:hanging="0" w:start="0"/>
        <w:jc w:val="start"/>
        <w:rPr>
          <w:sz w:val="20"/>
        </w:rPr>
      </w:pPr>
      <w:r>
        <w:rPr>
          <w:sz w:val="20"/>
        </w:rPr>
        <w:t>Price</w:t>
      </w:r>
    </w:p>
    <w:p>
      <w:pPr>
        <w:pStyle w:val="BodyText"/>
        <w:rPr/>
      </w:pPr>
      <w:r>
        <w:rPr/>
        <w:t>This past Tuesday the Finnish index compiler FOEX put the benchmark price of NBSK at $477.27/ton, down $1.64 from last week. BHKP (Bleached Hardwood Kraft Eucalyptus/Birch) came in at $408.50 up $0.25/ton.  Since it is generally accepted that hardwood prices lead those of softwood, this is a potentially interesting development in the current market trend.  With NBSK prices dropping a mere 0.34% week-on-week versus a 2.43% drop in the prior period and BHKP prices rising for the first time in months, market consensus is beginning to believe that pulp prices may reach a bottom sometime during the 3</w:t>
      </w:r>
      <w:r>
        <w:rPr>
          <w:vertAlign w:val="superscript"/>
        </w:rPr>
        <w:t>rd</w:t>
      </w:r>
      <w:r>
        <w:rPr/>
        <w:t xml:space="preserve"> quarter.  Additionally, demand is expected to begin its recovery during the same period as consumers take advantage of current price levels to begin stockpiling. (</w:t>
      </w:r>
      <w:r>
        <w:rPr>
          <w:i/>
          <w:iCs/>
          <w:sz w:val="18"/>
        </w:rPr>
        <w:t>See FOEX Price below</w:t>
      </w:r>
      <w:r>
        <w:rPr/>
        <w:t>)</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b/>
          <w:bCs/>
          <w:sz w:val="18"/>
        </w:rPr>
      </w:pPr>
      <w:r>
        <w:rPr>
          <w:b/>
          <w:bCs/>
          <w:sz w:val="18"/>
        </w:rPr>
        <w:t xml:space="preserve">  </w:t>
      </w:r>
      <w:r>
        <w:rPr>
          <w:b/>
          <w:bCs/>
          <w:sz w:val="18"/>
        </w:rPr>
        <w:t xml:space="preserve">North American Pulp Downtime  </w:t>
      </w:r>
    </w:p>
    <w:p>
      <w:pPr>
        <w:pStyle w:val="Normal"/>
        <w:rPr>
          <w:sz w:val="20"/>
        </w:rPr>
      </w:pPr>
      <w:r>
        <w:rPr>
          <w:b/>
          <w:bCs/>
          <w:sz w:val="20"/>
        </w:rPr>
        <w:t xml:space="preserve"> </w:t>
      </w:r>
      <w:r>
        <w:rPr>
          <w:b/>
          <w:bCs/>
          <w:sz w:val="20"/>
        </w:rPr>
        <w:t xml:space="preserve">Announced for the Month of July                                      </w:t>
      </w:r>
    </w:p>
    <w:tbl>
      <w:tblPr>
        <w:tblW w:w="2895" w:type="dxa"/>
        <w:jc w:val="start"/>
        <w:tblInd w:w="0" w:type="dxa"/>
        <w:tblLayout w:type="fixed"/>
        <w:tblCellMar>
          <w:top w:w="15" w:type="dxa"/>
          <w:start w:w="15" w:type="dxa"/>
          <w:bottom w:w="0" w:type="dxa"/>
          <w:end w:w="15" w:type="dxa"/>
        </w:tblCellMar>
      </w:tblPr>
      <w:tblGrid>
        <w:gridCol w:w="1095"/>
        <w:gridCol w:w="900"/>
        <w:gridCol w:w="900"/>
      </w:tblGrid>
      <w:tr>
        <w:trPr>
          <w:trHeight w:val="255" w:hRule="atLeast"/>
        </w:trPr>
        <w:tc>
          <w:tcPr>
            <w:tcW w:w="1095" w:type="dxa"/>
            <w:tcBorders>
              <w:top w:val="single" w:sz="4" w:space="0" w:color="000000"/>
              <w:start w:val="single" w:sz="4" w:space="0" w:color="000000"/>
              <w:end w:val="single" w:sz="4" w:space="0" w:color="000000"/>
            </w:tcBorders>
            <w:shd w:fill="FFFFFF" w:val="clear"/>
            <w:vAlign w:val="bottom"/>
          </w:tcPr>
          <w:p>
            <w:pPr>
              <w:pStyle w:val="Normal"/>
              <w:jc w:val="center"/>
              <w:rPr>
                <w:rFonts w:ascii="Arial" w:hAnsi="Arial" w:eastAsia="Arial Unicode MS" w:cs="Arial"/>
                <w:b/>
                <w:bCs/>
                <w:sz w:val="16"/>
                <w:szCs w:val="16"/>
              </w:rPr>
            </w:pPr>
            <w:r>
              <w:rPr>
                <w:rFonts w:cs="Arial" w:ascii="Arial" w:hAnsi="Arial"/>
                <w:b/>
                <w:bCs/>
                <w:sz w:val="16"/>
                <w:szCs w:val="16"/>
              </w:rPr>
              <w:t>Company</w:t>
            </w:r>
            <w:r>
              <mc:AlternateContent>
                <mc:Choice Requires="wps">
                  <w:drawing>
                    <wp:anchor behindDoc="0" distT="0" distB="0" distL="114935" distR="114935" simplePos="0" locked="0" layoutInCell="0" allowOverlap="1" relativeHeight="4">
                      <wp:simplePos x="0" y="0"/>
                      <wp:positionH relativeFrom="margin">
                        <wp:posOffset>2738755</wp:posOffset>
                      </wp:positionH>
                      <wp:positionV relativeFrom="paragraph">
                        <wp:posOffset>-4445</wp:posOffset>
                      </wp:positionV>
                      <wp:extent cx="3182620" cy="2397760"/>
                      <wp:effectExtent l="0" t="0" r="0" b="0"/>
                      <wp:wrapNone/>
                      <wp:docPr id="2" name="Frame2"/>
                      <a:graphic xmlns:a="http://schemas.openxmlformats.org/drawingml/2006/main">
                        <a:graphicData uri="http://schemas.microsoft.com/office/word/2010/wordprocessingShape">
                          <wps:wsp>
                            <wps:cNvSpPr txBox="1"/>
                            <wps:spPr>
                              <a:xfrm>
                                <a:off x="0" y="0"/>
                                <a:ext cx="3182620" cy="2397760"/>
                              </a:xfrm>
                              <a:prstGeom prst="rect"/>
                              <a:solidFill>
                                <a:srgbClr val="FFFFFF"/>
                              </a:solidFill>
                              <a:ln w="9525">
                                <a:solidFill>
                                  <a:srgbClr val="000000"/>
                                </a:solidFill>
                              </a:ln>
                            </wps:spPr>
                            <wps:txbx>
                              <w:txbxContent>
                                <w:p>
                                  <w:pPr>
                                    <w:pStyle w:val="Normal"/>
                                    <w:rPr/>
                                  </w:pPr>
                                  <w:r>
                                    <w:rPr/>
                                    <w:drawing>
                                      <wp:inline distT="0" distB="0" distL="0" distR="0">
                                        <wp:extent cx="2981325" cy="228663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7" t="-12" r="-7" b="-12"/>
                                                <a:stretch>
                                                  <a:fillRect/>
                                                </a:stretch>
                                              </pic:blipFill>
                                              <pic:spPr bwMode="auto">
                                                <a:xfrm>
                                                  <a:off x="0" y="0"/>
                                                  <a:ext cx="2981325" cy="228663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50.6pt;height:188.8pt;mso-wrap-distance-left:9.05pt;mso-wrap-distance-right:9.05pt;mso-wrap-distance-top:0pt;mso-wrap-distance-bottom:0pt;margin-top:-0.35pt;mso-position-vertical-relative:text;margin-left:215.65pt;mso-position-horizontal-relative:margin">
                      <v:textbox>
                        <w:txbxContent>
                          <w:p>
                            <w:pPr>
                              <w:pStyle w:val="Normal"/>
                              <w:rPr/>
                            </w:pPr>
                            <w:r>
                              <w:rPr/>
                              <w:drawing>
                                <wp:inline distT="0" distB="0" distL="0" distR="0">
                                  <wp:extent cx="2981325" cy="2286635"/>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3"/>
                                          <a:srcRect l="-7" t="-12" r="-7" b="-12"/>
                                          <a:stretch>
                                            <a:fillRect/>
                                          </a:stretch>
                                        </pic:blipFill>
                                        <pic:spPr bwMode="auto">
                                          <a:xfrm>
                                            <a:off x="0" y="0"/>
                                            <a:ext cx="2981325" cy="2286635"/>
                                          </a:xfrm>
                                          <a:prstGeom prst="rect">
                                            <a:avLst/>
                                          </a:prstGeom>
                                          <a:noFill/>
                                        </pic:spPr>
                                      </pic:pic>
                                    </a:graphicData>
                                  </a:graphic>
                                </wp:inline>
                              </w:drawing>
                            </w:r>
                          </w:p>
                        </w:txbxContent>
                      </v:textbox>
                      <w10:wrap type="none"/>
                    </v:rect>
                  </w:pict>
                </mc:Fallback>
              </mc:AlternateContent>
            </w:r>
          </w:p>
        </w:tc>
        <w:tc>
          <w:tcPr>
            <w:tcW w:w="900" w:type="dxa"/>
            <w:tcBorders>
              <w:top w:val="single" w:sz="4" w:space="0" w:color="000000"/>
              <w:end w:val="single" w:sz="4" w:space="0" w:color="000000"/>
            </w:tcBorders>
            <w:shd w:fill="FFFFFF" w:val="clear"/>
            <w:tcMar>
              <w:top w:w="0" w:type="dxa"/>
              <w:start w:w="0" w:type="dxa"/>
              <w:end w:w="0" w:type="dxa"/>
            </w:tcMar>
            <w:vAlign w:val="bottom"/>
          </w:tcPr>
          <w:p>
            <w:pPr>
              <w:pStyle w:val="Heading5"/>
              <w:ind w:hanging="0" w:start="0"/>
              <w:jc w:val="center"/>
              <w:rPr>
                <w:rFonts w:eastAsia="Arial Unicode MS"/>
              </w:rPr>
            </w:pPr>
            <w:r>
              <w:rPr/>
              <w:t>Downtime</w:t>
            </w:r>
          </w:p>
        </w:tc>
        <w:tc>
          <w:tcPr>
            <w:tcW w:w="900" w:type="dxa"/>
            <w:tcBorders>
              <w:top w:val="single" w:sz="4" w:space="0" w:color="000000"/>
              <w:start w:val="single" w:sz="4" w:space="0" w:color="000000"/>
              <w:end w:val="single" w:sz="4" w:space="0" w:color="000000"/>
            </w:tcBorders>
            <w:shd w:fill="FFFFFF" w:val="clear"/>
            <w:tcMar>
              <w:top w:w="0" w:type="dxa"/>
              <w:start w:w="0" w:type="dxa"/>
              <w:end w:w="0" w:type="dxa"/>
            </w:tcMar>
            <w:vAlign w:val="bottom"/>
          </w:tcPr>
          <w:p>
            <w:pPr>
              <w:pStyle w:val="Heading5"/>
              <w:ind w:hanging="0" w:start="0"/>
              <w:jc w:val="center"/>
              <w:rPr/>
            </w:pPr>
            <w:r>
              <w:rPr/>
              <w:t>% Of Total</w:t>
            </w:r>
          </w:p>
        </w:tc>
      </w:tr>
      <w:tr>
        <w:trPr>
          <w:trHeight w:val="225" w:hRule="atLeast"/>
        </w:trPr>
        <w:tc>
          <w:tcPr>
            <w:tcW w:w="1095" w:type="dxa"/>
            <w:tcBorders>
              <w:start w:val="single" w:sz="4" w:space="0" w:color="000000"/>
              <w:end w:val="single" w:sz="4" w:space="0" w:color="000000"/>
            </w:tcBorders>
            <w:shd w:fill="FFFFFF" w:val="clear"/>
            <w:vAlign w:val="bottom"/>
          </w:tcPr>
          <w:p>
            <w:pPr>
              <w:pStyle w:val="Normal"/>
              <w:snapToGrid w:val="false"/>
              <w:jc w:val="both"/>
              <w:rPr>
                <w:rFonts w:ascii="Arial" w:hAnsi="Arial" w:eastAsia="Arial Unicode MS" w:cs="Arial"/>
                <w:sz w:val="14"/>
                <w:szCs w:val="16"/>
              </w:rPr>
            </w:pPr>
            <w:r>
              <w:rPr>
                <w:rFonts w:eastAsia="Arial Unicode MS" w:cs="Arial" w:ascii="Arial" w:hAnsi="Arial"/>
                <w:sz w:val="14"/>
                <w:szCs w:val="16"/>
              </w:rPr>
            </w:r>
          </w:p>
        </w:tc>
        <w:tc>
          <w:tcPr>
            <w:tcW w:w="900" w:type="dxa"/>
            <w:tcBorders>
              <w:end w:val="single" w:sz="4" w:space="0" w:color="000000"/>
            </w:tcBorders>
            <w:shd w:fill="FFFFFF" w:val="clear"/>
            <w:tcMar>
              <w:top w:w="0" w:type="dxa"/>
              <w:start w:w="0" w:type="dxa"/>
              <w:end w:w="0" w:type="dxa"/>
            </w:tcMar>
            <w:vAlign w:val="bottom"/>
          </w:tcPr>
          <w:p>
            <w:pPr>
              <w:pStyle w:val="Normal"/>
              <w:snapToGrid w:val="false"/>
              <w:jc w:val="both"/>
              <w:rPr>
                <w:rFonts w:ascii="Arial" w:hAnsi="Arial" w:eastAsia="Arial Unicode MS" w:cs="Arial"/>
                <w:sz w:val="14"/>
                <w:szCs w:val="16"/>
              </w:rPr>
            </w:pPr>
            <w:r>
              <w:rPr>
                <w:rFonts w:eastAsia="Arial Unicode MS" w:cs="Arial" w:ascii="Arial" w:hAnsi="Arial"/>
                <w:sz w:val="14"/>
                <w:szCs w:val="16"/>
              </w:rPr>
            </w:r>
          </w:p>
        </w:tc>
        <w:tc>
          <w:tcPr>
            <w:tcW w:w="900" w:type="dxa"/>
            <w:tcBorders>
              <w:start w:val="single" w:sz="4" w:space="0" w:color="000000"/>
              <w:end w:val="single" w:sz="4" w:space="0" w:color="000000"/>
            </w:tcBorders>
            <w:shd w:fill="FFFFFF" w:val="clear"/>
            <w:tcMar>
              <w:top w:w="0" w:type="dxa"/>
              <w:start w:w="0" w:type="dxa"/>
              <w:end w:w="0" w:type="dxa"/>
            </w:tcMar>
          </w:tcPr>
          <w:p>
            <w:pPr>
              <w:pStyle w:val="Normal"/>
              <w:snapToGrid w:val="false"/>
              <w:jc w:val="both"/>
              <w:rPr>
                <w:rFonts w:ascii="Arial" w:hAnsi="Arial" w:eastAsia="Arial Unicode MS" w:cs="Arial"/>
                <w:sz w:val="14"/>
                <w:szCs w:val="16"/>
              </w:rPr>
            </w:pPr>
            <w:r>
              <w:rPr>
                <w:rFonts w:eastAsia="Arial Unicode MS" w:cs="Arial" w:ascii="Arial" w:hAnsi="Arial"/>
                <w:sz w:val="14"/>
                <w:szCs w:val="16"/>
              </w:rPr>
            </w:r>
          </w:p>
        </w:tc>
      </w:tr>
      <w:tr>
        <w:trPr>
          <w:trHeight w:val="240" w:hRule="atLeast"/>
        </w:trPr>
        <w:tc>
          <w:tcPr>
            <w:tcW w:w="1095"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eastAsia="Arial" w:cs="Arial" w:ascii="Arial" w:hAnsi="Arial"/>
                <w:b/>
                <w:bCs/>
                <w:color w:val="008080"/>
                <w:sz w:val="12"/>
                <w:szCs w:val="16"/>
              </w:rPr>
              <w:t xml:space="preserve"> </w:t>
            </w:r>
            <w:r>
              <w:rPr>
                <w:rFonts w:cs="Arial" w:ascii="Arial" w:hAnsi="Arial"/>
                <w:b/>
                <w:bCs/>
                <w:color w:val="008080"/>
                <w:sz w:val="12"/>
                <w:szCs w:val="16"/>
              </w:rPr>
              <w:t>Bowater</w:t>
            </w:r>
          </w:p>
        </w:tc>
        <w:tc>
          <w:tcPr>
            <w:tcW w:w="900" w:type="dxa"/>
            <w:tcBorders>
              <w:top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18,000</w:t>
            </w:r>
          </w:p>
        </w:tc>
        <w:tc>
          <w:tcPr>
            <w:tcW w:w="900" w:type="dxa"/>
            <w:tcBorders>
              <w:top w:val="single" w:sz="4" w:space="0" w:color="000000"/>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7%</w:t>
            </w:r>
          </w:p>
        </w:tc>
      </w:tr>
      <w:tr>
        <w:trPr>
          <w:trHeight w:val="21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Canfor Corp</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7,500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3%</w:t>
            </w:r>
          </w:p>
        </w:tc>
      </w:tr>
      <w:tr>
        <w:trPr>
          <w:trHeight w:val="21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Celgar</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14,163</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6%</w:t>
            </w:r>
          </w:p>
        </w:tc>
      </w:tr>
      <w:tr>
        <w:trPr>
          <w:trHeight w:val="225"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Domtar</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12,404</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5%</w:t>
            </w:r>
          </w:p>
        </w:tc>
      </w:tr>
      <w:tr>
        <w:trPr>
          <w:trHeight w:val="225"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Georgia Pacific</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12,000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5%</w:t>
            </w:r>
          </w:p>
        </w:tc>
      </w:tr>
      <w:tr>
        <w:trPr>
          <w:trHeight w:val="24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mc:AlternateContent>
                <mc:Choice Requires="wps">
                  <w:drawing>
                    <wp:anchor behindDoc="0" distT="0" distB="0" distL="114935" distR="114935" simplePos="0" locked="0" layoutInCell="0" allowOverlap="1" relativeHeight="6">
                      <wp:simplePos x="0" y="0"/>
                      <wp:positionH relativeFrom="margin">
                        <wp:posOffset>5143500</wp:posOffset>
                      </wp:positionH>
                      <wp:positionV relativeFrom="paragraph">
                        <wp:posOffset>53975</wp:posOffset>
                      </wp:positionV>
                      <wp:extent cx="685800" cy="571500"/>
                      <wp:effectExtent l="5080" t="5080" r="5715" b="5715"/>
                      <wp:wrapNone/>
                      <wp:docPr id="5" name=""/>
                      <a:graphic xmlns:a="http://schemas.openxmlformats.org/drawingml/2006/main">
                        <a:graphicData uri="http://schemas.microsoft.com/office/word/2010/wordprocessingShape">
                          <wps:wsp>
                            <wps:cNvSpPr/>
                            <wps:spPr>
                              <a:xfrm>
                                <a:off x="0" y="0"/>
                                <a:ext cx="685800" cy="5716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405pt;margin-top:4.25pt;width:53.95pt;height:44.95pt;mso-wrap-style:none;v-text-anchor:middle;mso-position-horizontal-relative:margin">
                      <v:fill o:detectmouseclick="t" on="false"/>
                      <v:stroke color="black" weight="9360" joinstyle="miter" endcap="flat"/>
                      <w10:wrap type="none"/>
                    </v:oval>
                  </w:pict>
                </mc:Fallback>
              </mc:AlternateContent>
            </w:r>
            <w:r>
              <w:rPr>
                <w:rFonts w:cs="Arial" w:ascii="Arial" w:hAnsi="Arial"/>
                <w:b/>
                <w:bCs/>
                <w:color w:val="008080"/>
                <w:sz w:val="12"/>
                <w:szCs w:val="16"/>
              </w:rPr>
              <w:t>IP</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75,687</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30%</w:t>
            </w:r>
          </w:p>
        </w:tc>
      </w:tr>
      <w:tr>
        <w:trPr>
          <w:trHeight w:val="225"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Louisiana Pacific</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16,399</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6%</w:t>
            </w:r>
          </w:p>
        </w:tc>
      </w:tr>
      <w:tr>
        <w:trPr>
          <w:trHeight w:val="24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Norske Skog</w:t>
            </w:r>
            <w:r>
              <mc:AlternateContent>
                <mc:Choice Requires="wps">
                  <w:drawing>
                    <wp:anchor behindDoc="0" distT="0" distB="0" distL="114935" distR="114935" simplePos="0" locked="0" layoutInCell="0" allowOverlap="1" relativeHeight="7">
                      <wp:simplePos x="0" y="0"/>
                      <wp:positionH relativeFrom="margin">
                        <wp:posOffset>6057900</wp:posOffset>
                      </wp:positionH>
                      <wp:positionV relativeFrom="paragraph">
                        <wp:posOffset>82550</wp:posOffset>
                      </wp:positionV>
                      <wp:extent cx="914400" cy="457200"/>
                      <wp:effectExtent l="0" t="0" r="0" b="0"/>
                      <wp:wrapNone/>
                      <wp:docPr id="6" name="Frame3"/>
                      <a:graphic xmlns:a="http://schemas.openxmlformats.org/drawingml/2006/main">
                        <a:graphicData uri="http://schemas.microsoft.com/office/word/2010/wordprocessingShape">
                          <wps:wsp>
                            <wps:cNvSpPr txBox="1"/>
                            <wps:spPr>
                              <a:xfrm>
                                <a:off x="0" y="0"/>
                                <a:ext cx="914400" cy="457200"/>
                              </a:xfrm>
                              <a:prstGeom prst="rect"/>
                              <a:solidFill>
                                <a:srgbClr val="FFFFFF"/>
                              </a:solidFill>
                            </wps:spPr>
                            <wps:txbx>
                              <w:txbxContent>
                                <w:p>
                                  <w:pPr>
                                    <w:pStyle w:val="BodyText2"/>
                                    <w:rPr/>
                                  </w:pPr>
                                  <w:r>
                                    <w:rPr/>
                                    <w:t>Tentative signs of recovery ????</w:t>
                                  </w:r>
                                </w:p>
                                <w:p>
                                  <w:pPr>
                                    <w:pStyle w:val="Normal"/>
                                    <w:rPr>
                                      <w:sz w:val="14"/>
                                    </w:rPr>
                                  </w:pPr>
                                  <w:r>
                                    <w:rPr>
                                      <w:sz w:val="14"/>
                                    </w:rPr>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6.5pt;mso-position-vertical-relative:text;margin-left:477pt;mso-position-horizontal-relative:margin">
                      <v:textbox inset="0.100694444444444in,0.0506944444444444in,0.100694444444444in,0.0506944444444444in">
                        <w:txbxContent>
                          <w:p>
                            <w:pPr>
                              <w:pStyle w:val="BodyText2"/>
                              <w:rPr/>
                            </w:pPr>
                            <w:r>
                              <w:rPr/>
                              <w:t>Tentative signs of recovery ????</w:t>
                            </w:r>
                          </w:p>
                          <w:p>
                            <w:pPr>
                              <w:pStyle w:val="Normal"/>
                              <w:rPr>
                                <w:sz w:val="14"/>
                              </w:rPr>
                            </w:pPr>
                            <w:r>
                              <w:rPr>
                                <w:sz w:val="14"/>
                              </w:rPr>
                            </w:r>
                          </w:p>
                        </w:txbxContent>
                      </v:textbox>
                      <w10:wrap type="none"/>
                    </v:rect>
                  </w:pict>
                </mc:Fallback>
              </mc:AlternateConten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mc:AlternateContent>
                <mc:Choice Requires="wps">
                  <w:drawing>
                    <wp:anchor behindDoc="0" distT="0" distB="0" distL="114935" distR="114935" simplePos="0" locked="0" layoutInCell="0" allowOverlap="1" relativeHeight="8">
                      <wp:simplePos x="0" y="0"/>
                      <wp:positionH relativeFrom="margin">
                        <wp:posOffset>5829300</wp:posOffset>
                      </wp:positionH>
                      <wp:positionV relativeFrom="paragraph">
                        <wp:posOffset>82550</wp:posOffset>
                      </wp:positionV>
                      <wp:extent cx="342900" cy="114300"/>
                      <wp:effectExtent l="0" t="12065" r="1905" b="5080"/>
                      <wp:wrapNone/>
                      <wp:docPr id="7" name=""/>
                      <a:graphic xmlns:a="http://schemas.openxmlformats.org/drawingml/2006/main">
                        <a:graphicData uri="http://schemas.microsoft.com/office/word/2010/wordprocessingShape">
                          <wps:wsp>
                            <wps:cNvSpPr/>
                            <wps:spPr>
                              <a:xfrm flipH="1" flipV="1">
                                <a:off x="0" y="0"/>
                                <a:ext cx="34308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9pt,6.5pt" to="485.95pt,15.45pt" stroked="t" o:allowincell="f" style="position:absolute;flip:xy;mso-position-horizontal-relative:margin">
                      <v:stroke color="black" weight="9360" endarrow="block" endarrowwidth="medium" endarrowlength="medium" joinstyle="miter" endcap="flat"/>
                      <v:fill o:detectmouseclick="t" on="false"/>
                      <w10:wrap type="none"/>
                    </v:line>
                  </w:pict>
                </mc:Fallback>
              </mc:AlternateContent>
            </w:r>
            <w:r>
              <w:rPr>
                <w:rFonts w:cs="Arial" w:ascii="Arial" w:hAnsi="Arial"/>
                <w:b/>
                <w:bCs/>
                <w:color w:val="008080"/>
                <w:sz w:val="12"/>
                <w:szCs w:val="16"/>
              </w:rPr>
              <w:t>9,333</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lang w:val="en-CA" w:eastAsia="en-CA"/>
              </w:rPr>
            </w:pPr>
            <w:r>
              <w:rPr>
                <w:rFonts w:cs="Arial" w:ascii="Arial" w:hAnsi="Arial"/>
                <w:b/>
                <w:bCs/>
                <w:color w:val="008080"/>
                <w:sz w:val="12"/>
                <w:szCs w:val="16"/>
                <w:lang w:val="en-CA" w:eastAsia="en-CA"/>
              </w:rPr>
              <w:t>4%</w:t>
            </w:r>
          </w:p>
        </w:tc>
      </w:tr>
      <w:tr>
        <w:trPr>
          <w:trHeight w:val="24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Samoa Pacific</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11,420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5%</w:t>
            </w:r>
          </w:p>
        </w:tc>
      </w:tr>
      <w:tr>
        <w:trPr>
          <w:trHeight w:val="24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Skeena Cellulose</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20,000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8%</w:t>
            </w:r>
          </w:p>
        </w:tc>
      </w:tr>
      <w:tr>
        <w:trPr>
          <w:trHeight w:val="24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Tembec Inc</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10,000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4%</w:t>
            </w:r>
          </w:p>
        </w:tc>
      </w:tr>
      <w:tr>
        <w:trPr>
          <w:trHeight w:val="24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Western Pulp Ltd</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24,000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9%</w:t>
            </w:r>
          </w:p>
        </w:tc>
      </w:tr>
      <w:tr>
        <w:trPr>
          <w:trHeight w:val="225"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Weyerhaeuser</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22,444</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9%</w:t>
            </w:r>
          </w:p>
        </w:tc>
      </w:tr>
      <w:tr>
        <w:trPr>
          <w:trHeight w:val="225"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sz w:val="12"/>
                <w:szCs w:val="16"/>
              </w:rPr>
            </w:pPr>
            <w:r>
              <w:rPr>
                <w:rFonts w:cs="Arial" w:ascii="Arial" w:hAnsi="Arial"/>
                <w:b/>
                <w:bCs/>
                <w:sz w:val="12"/>
                <w:szCs w:val="16"/>
              </w:rPr>
              <w:t>Total</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sz w:val="12"/>
                <w:szCs w:val="16"/>
              </w:rPr>
            </w:pPr>
            <w:r>
              <w:rPr>
                <w:rFonts w:cs="Arial" w:ascii="Arial" w:hAnsi="Arial"/>
                <w:b/>
                <w:bCs/>
                <w:sz w:val="12"/>
                <w:szCs w:val="16"/>
              </w:rPr>
              <w:t>253,350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sz w:val="12"/>
                <w:szCs w:val="16"/>
              </w:rPr>
            </w:pPr>
            <w:r>
              <w:rPr>
                <w:rFonts w:cs="Arial" w:ascii="Arial" w:hAnsi="Arial"/>
                <w:b/>
                <w:bCs/>
                <w:sz w:val="12"/>
                <w:szCs w:val="16"/>
              </w:rPr>
              <w:t>100%</w:t>
            </w:r>
          </w:p>
        </w:tc>
      </w:tr>
    </w:tbl>
    <w:p>
      <w:pPr>
        <w:pStyle w:val="Header"/>
        <w:tabs>
          <w:tab w:val="clear" w:pos="4320"/>
          <w:tab w:val="clear" w:pos="8640"/>
        </w:tabs>
        <w:rPr>
          <w:i/>
          <w:i/>
          <w:iCs/>
          <w:sz w:val="14"/>
        </w:rPr>
      </w:pPr>
      <w:r>
        <w:rPr>
          <w:i/>
          <w:iCs/>
          <w:sz w:val="14"/>
        </w:rPr>
        <w:t>Source: paperloop.com</w:t>
      </w:r>
    </w:p>
    <w:sectPr>
      <w:headerReference w:type="default" r:id="rId4"/>
      <w:footerReference w:type="default" r:id="rId5"/>
      <w:type w:val="nextPage"/>
      <w:pgSz w:w="12240" w:h="15840"/>
      <w:pgMar w:left="1008" w:right="100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rPr/>
    </w:pPr>
    <w:r>
      <w:drawing>
        <wp:anchor behindDoc="1" distT="0" distB="0" distL="114935" distR="114935" simplePos="0" locked="0" layoutInCell="1" allowOverlap="1" relativeHeight="2">
          <wp:simplePos x="0" y="0"/>
          <wp:positionH relativeFrom="column">
            <wp:posOffset>0</wp:posOffset>
          </wp:positionH>
          <wp:positionV relativeFrom="paragraph">
            <wp:posOffset>-68580</wp:posOffset>
          </wp:positionV>
          <wp:extent cx="1028700" cy="438150"/>
          <wp:effectExtent l="0" t="0" r="0" b="0"/>
          <wp:wrapNone/>
          <wp:docPr id="8"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title=""/>
                  <pic:cNvPicPr>
                    <a:picLocks noChangeAspect="1" noChangeArrowheads="1"/>
                  </pic:cNvPicPr>
                </pic:nvPicPr>
                <pic:blipFill>
                  <a:blip r:embed="rId1"/>
                  <a:srcRect l="-24" t="-54" r="-24" b="-54"/>
                  <a:stretch>
                    <a:fillRect/>
                  </a:stretch>
                </pic:blipFill>
                <pic:spPr bwMode="auto">
                  <a:xfrm>
                    <a:off x="0" y="0"/>
                    <a:ext cx="1028700" cy="438150"/>
                  </a:xfrm>
                  <a:prstGeom prst="rect">
                    <a:avLst/>
                  </a:prstGeom>
                  <a:noFill/>
                </pic:spPr>
              </pic:pic>
            </a:graphicData>
          </a:graphic>
        </wp:anchor>
      </w:drawing>
    </w:r>
    <w:r>
      <w:rPr/>
      <w:t>Dave Allan X52644</w:t>
    </w:r>
  </w:p>
  <w:p>
    <w:pPr>
      <w:pStyle w:val="Normal"/>
      <w:ind w:firstLine="720" w:start="7200" w:end="0"/>
      <w:jc w:val="end"/>
      <w:rPr>
        <w:b/>
        <w:bCs/>
        <w:sz w:val="20"/>
      </w:rPr>
    </w:pPr>
    <w:r>
      <w:rPr>
        <w:b/>
        <w:bCs/>
        <w:sz w:val="20"/>
      </w:rPr>
      <w:t>Karen Carter X30991</w:t>
    </w:r>
  </w:p>
  <w:p>
    <w:pPr>
      <w:pStyle w:val="Header"/>
      <w:jc w:val="end"/>
      <w:rPr>
        <w:b/>
        <w:bCs/>
        <w:sz w:val="20"/>
      </w:rPr>
    </w:pPr>
    <w:r>
      <w:rPr>
        <w:b/>
        <w:bCs/>
        <w:sz w:val="20"/>
      </w:rPr>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2001-07-27T19:03:00Z</dcterms:created>
  <dc:creator>vsingh3</dc:creator>
  <dc:description/>
  <dc:language>en-CA</dc:language>
  <cp:lastModifiedBy>mcaushol</cp:lastModifiedBy>
  <cp:lastPrinted>2001-07-27T12:25:00Z</cp:lastPrinted>
  <dcterms:modified xsi:type="dcterms:W3CDTF">2001-07-27T19:03:00Z</dcterms:modified>
  <cp:revision>2</cp:revision>
  <dc:subject/>
  <dc:title/>
</cp:coreProperties>
</file>