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20"/>
        </w:rPr>
      </w:pPr>
      <w:r>
        <w:rPr/>
        <w:t>Week of August 3, 2001</w:t>
      </w:r>
    </w:p>
    <w:p>
      <w:pPr>
        <w:pStyle w:val="Normal"/>
        <w:autoSpaceDE w:val="false"/>
        <w:spacing w:before="100" w:after="100"/>
        <w:rPr/>
      </w:pPr>
      <w:r>
        <w:rPr>
          <w:sz w:val="20"/>
        </w:rPr>
        <w:t xml:space="preserve">This past week, the Pulp and Paper Products Council (PPPC) in Montreal released the preliminary </w:t>
      </w:r>
      <w:r>
        <w:rPr>
          <w:i/>
          <w:iCs/>
          <w:sz w:val="20"/>
        </w:rPr>
        <w:t>worldwide*</w:t>
      </w:r>
      <w:r>
        <w:rPr>
          <w:sz w:val="20"/>
        </w:rPr>
        <w:t xml:space="preserve"> statistics for the month of June.                                                                                                                                                                                     </w:t>
      </w:r>
    </w:p>
    <w:p>
      <w:pPr>
        <w:pStyle w:val="Normal"/>
        <w:autoSpaceDE w:val="false"/>
        <w:spacing w:before="100" w:after="100"/>
        <w:rPr>
          <w:sz w:val="20"/>
        </w:rPr>
      </w:pPr>
      <w:r>
        <w:rPr>
          <w:sz w:val="20"/>
        </w:rPr>
        <w:t>According to this data….</w:t>
      </w:r>
    </w:p>
    <w:p>
      <w:pPr>
        <w:pStyle w:val="Normal"/>
        <w:autoSpaceDE w:val="false"/>
        <w:spacing w:before="100" w:after="100"/>
        <w:rPr/>
      </w:pPr>
      <w:r>
        <w:rPr>
          <w:sz w:val="20"/>
        </w:rPr>
        <w:t xml:space="preserve"> </w:t>
      </w:r>
      <w:r>
        <w:rPr>
          <w:sz w:val="20"/>
        </w:rPr>
        <w:t xml:space="preserve">June </w:t>
      </w:r>
      <w:r>
        <w:rPr>
          <w:b/>
          <w:bCs/>
          <w:i/>
          <w:iCs/>
          <w:sz w:val="20"/>
        </w:rPr>
        <w:t>producer</w:t>
      </w:r>
      <w:r>
        <w:rPr>
          <w:sz w:val="20"/>
        </w:rPr>
        <w:t xml:space="preserve"> </w:t>
      </w:r>
      <w:r>
        <w:rPr>
          <w:b/>
          <w:bCs/>
          <w:i/>
          <w:iCs/>
          <w:sz w:val="20"/>
        </w:rPr>
        <w:t>inventories</w:t>
      </w:r>
      <w:r>
        <w:rPr>
          <w:sz w:val="20"/>
        </w:rPr>
        <w:t xml:space="preserve"> for chemical paper-grade market pulp declined for the fourth month in a row, down 171,000 tons from the previous month. The reduction is a 4.6 % drop from May results, which followed a 4.3 % drop the month prior. World producer stocks closed June at 3.528 million tons or 74.8 % higher than the same period one year ago. Producer inventory levels represented 39 days of supply in June, three days fewer than in May. That compares to year-ago results when world producers held 22 days of supply.                                                                                                                    </w:t>
      </w:r>
    </w:p>
    <w:p>
      <w:pPr>
        <w:pStyle w:val="Normal"/>
        <w:autoSpaceDE w:val="false"/>
        <w:spacing w:before="100" w:after="100"/>
        <w:rPr/>
      </w:pPr>
      <w:r>
        <w:rPr>
          <w:sz w:val="20"/>
        </w:rPr>
        <w:t xml:space="preserve">June </w:t>
      </w:r>
      <w:r>
        <w:rPr>
          <w:b/>
          <w:bCs/>
          <w:i/>
          <w:iCs/>
          <w:sz w:val="20"/>
        </w:rPr>
        <w:t>production</w:t>
      </w:r>
      <w:r>
        <w:rPr>
          <w:sz w:val="20"/>
        </w:rPr>
        <w:t xml:space="preserve"> of 2.659 million tons was down 5.6 % vs. year-ago results of 2.818 million tons, and dipped compared to last month. Meanwhile, Global shipments rose to the highest year-to-date close. World shipments totaled 2.830 million tons in June, down only 3 % from year-ago results of 2,919 tons. </w:t>
      </w:r>
    </w:p>
    <w:p>
      <w:pPr>
        <w:pStyle w:val="Normal"/>
        <w:autoSpaceDE w:val="false"/>
        <w:spacing w:before="100" w:after="100"/>
        <w:rPr/>
      </w:pPr>
      <w:r>
        <w:rPr>
          <w:sz w:val="20"/>
        </w:rPr>
        <w:t>June</w:t>
      </w:r>
      <w:r>
        <w:rPr>
          <w:b/>
          <w:bCs/>
          <w:i/>
          <w:iCs/>
          <w:sz w:val="20"/>
        </w:rPr>
        <w:t xml:space="preserve"> Operation Rate </w:t>
      </w:r>
      <w:r>
        <w:rPr>
          <w:sz w:val="20"/>
        </w:rPr>
        <w:t>was 88 % of capacity, a 6 % jump from May production but down 8 % compared to the same time last year. The shipment-to-capacity ratio, considered an indicator of producer discipline, jumped 7 points over the prior month to close June at 94 %, PPPC reported.</w:t>
      </w:r>
    </w:p>
    <w:p>
      <w:pPr>
        <w:pStyle w:val="Normal"/>
        <w:autoSpaceDE w:val="false"/>
        <w:spacing w:before="100" w:after="100"/>
        <w:rPr>
          <w:sz w:val="20"/>
        </w:rPr>
      </w:pPr>
      <w:r>
        <w:rPr>
          <w:sz w:val="20"/>
        </w:rPr>
        <w:t>In other news…</w:t>
      </w:r>
    </w:p>
    <w:p>
      <w:pPr>
        <w:pStyle w:val="Heading6"/>
        <w:ind w:hanging="0" w:start="0"/>
        <w:rPr/>
      </w:pPr>
      <w:r>
        <w:rPr/>
        <w:t>Price</w:t>
      </w:r>
    </w:p>
    <w:p>
      <w:pPr>
        <w:pStyle w:val="BodyText"/>
        <w:rPr/>
      </w:pPr>
      <w:r>
        <w:rPr/>
        <w:t>The past week kept everyone in suspense as RISI published its monthly index for July. NBSK’s price came in at $490, down 7.6 % from June.  All other grades dropped as well. (</w:t>
      </w:r>
      <w:r>
        <w:rPr>
          <w:i/>
          <w:iCs/>
          <w:sz w:val="16"/>
        </w:rPr>
        <w:t>See table below</w:t>
      </w:r>
      <w:r>
        <w:rPr/>
        <w:t xml:space="preserve">).  FOEX, the Finnish index compiler, put the benchmark price of NBSK at $469.23/ton, down 1.68 % from last week and BHKP at $402.09, down 1.57 %.  Last week we had commented on the possibility of a price recovery given that hardwoods had shown a moderate increase and softwoods a deceleration in decreases;  however, this week’s price movements did not confirm this trend.  While hardwoods returned to registering negative changes, softwoods resumed their previous trend of accelerated downward moves.  Consensus among many pulp analysts still continues to forecast a bottoming out of prices during late summer or early fall.  One of the reasons behind this thinking is that many producers’ cash levels were reached quite sometime ago and it doesn’t make any economic sense to continue producing and selling at below cash cost.  In addition, they believe that the spike in demand expected for the school season should at least level off the pulp prices. </w:t>
      </w:r>
    </w:p>
    <w:p>
      <w:pPr>
        <w:pStyle w:val="BodyText"/>
        <w:rPr/>
      </w:pPr>
      <w:r>
        <w:rPr/>
      </w:r>
    </w:p>
    <w:p>
      <w:pPr>
        <w:pStyle w:val="BodyText"/>
        <w:rPr>
          <w:b/>
          <w:bCs/>
          <w:i/>
          <w:i/>
          <w:iCs/>
        </w:rPr>
      </w:pPr>
      <w:r>
        <w:rPr>
          <w:b/>
          <w:bCs/>
          <w:i/>
          <w:iCs/>
        </w:rPr>
        <w:t>Demand</w:t>
      </w:r>
    </w:p>
    <w:p>
      <w:pPr>
        <w:pStyle w:val="Normal"/>
        <w:rPr>
          <w:sz w:val="20"/>
        </w:rPr>
      </w:pPr>
      <w:r>
        <w:rPr>
          <w:sz w:val="20"/>
        </w:rPr>
        <w:t>On the demand side, the print and writing paper industry seems to be experiencing its own difficulties with demand falling by the day.  Many analysts link this weak demand for paper to the present state of the worldwide economy and specifically to declining ad revenues at magazines.  The current weakness is further compounded by the traditional seasonal summer weakness.  These bearish conditions have pushed main industry players like Sappi into announcing additional downtime for the third quarter.  These demand developments certainly don’t help the pulp price recovery that producers hope for.</w:t>
      </w:r>
    </w:p>
    <w:p>
      <w:pPr>
        <w:pStyle w:val="Normal"/>
        <w:tabs>
          <w:tab w:val="clear" w:pos="720"/>
          <w:tab w:val="left" w:pos="1350" w:leader="none"/>
        </w:tabs>
        <w:autoSpaceDE w:val="false"/>
        <w:spacing w:before="100" w:after="100"/>
        <w:jc w:val="center"/>
        <w:rPr/>
      </w:pPr>
      <w:r>
        <w:rPr/>
        <w:t>RISI Index for 2001</w:t>
      </w:r>
    </w:p>
    <w:tbl>
      <w:tblPr>
        <w:tblW w:w="5760" w:type="dxa"/>
        <w:jc w:val="center"/>
        <w:tblInd w:w="0" w:type="dxa"/>
        <w:tblLayout w:type="fixed"/>
        <w:tblCellMar>
          <w:top w:w="15" w:type="dxa"/>
          <w:start w:w="15" w:type="dxa"/>
          <w:bottom w:w="0" w:type="dxa"/>
          <w:end w:w="15" w:type="dxa"/>
        </w:tblCellMar>
      </w:tblPr>
      <w:tblGrid>
        <w:gridCol w:w="960"/>
        <w:gridCol w:w="960"/>
        <w:gridCol w:w="960"/>
        <w:gridCol w:w="960"/>
        <w:gridCol w:w="960"/>
        <w:gridCol w:w="960"/>
      </w:tblGrid>
      <w:tr>
        <w:trPr>
          <w:trHeight w:val="270" w:hRule="atLeast"/>
        </w:trPr>
        <w:tc>
          <w:tcPr>
            <w:tcW w:w="960" w:type="dxa"/>
            <w:tcBorders>
              <w:top w:val="single" w:sz="8" w:space="0" w:color="000000"/>
              <w:start w:val="single" w:sz="8" w:space="0" w:color="000000"/>
            </w:tcBorders>
            <w:shd w:fill="CCFFFF" w:val="clear"/>
            <w:vAlign w:val="bottom"/>
          </w:tcPr>
          <w:p>
            <w:pPr>
              <w:pStyle w:val="Heading7"/>
              <w:ind w:hanging="0" w:start="0"/>
              <w:rPr>
                <w:rFonts w:eastAsia="Arial Unicode MS"/>
              </w:rPr>
            </w:pPr>
            <w:r>
              <w:rPr/>
              <w:t>Date</w:t>
            </w:r>
          </w:p>
        </w:tc>
        <w:tc>
          <w:tcPr>
            <w:tcW w:w="960" w:type="dxa"/>
            <w:tcBorders>
              <w:top w:val="single" w:sz="8" w:space="0" w:color="000000"/>
            </w:tcBorders>
            <w:shd w:fill="CCFFFF" w:val="clear"/>
            <w:vAlign w:val="bottom"/>
          </w:tcPr>
          <w:p>
            <w:pPr>
              <w:pStyle w:val="Normal"/>
              <w:jc w:val="center"/>
              <w:rPr>
                <w:rFonts w:eastAsia="Arial Unicode MS"/>
                <w:b/>
                <w:bCs/>
                <w:sz w:val="14"/>
                <w:szCs w:val="18"/>
              </w:rPr>
            </w:pPr>
            <w:r>
              <w:rPr>
                <w:b/>
                <w:bCs/>
                <w:sz w:val="14"/>
                <w:szCs w:val="18"/>
              </w:rPr>
              <w:t>NBSK</w:t>
            </w:r>
          </w:p>
        </w:tc>
        <w:tc>
          <w:tcPr>
            <w:tcW w:w="960" w:type="dxa"/>
            <w:tcBorders>
              <w:top w:val="single" w:sz="8" w:space="0" w:color="000000"/>
            </w:tcBorders>
            <w:shd w:fill="CCFFFF" w:val="clear"/>
            <w:vAlign w:val="bottom"/>
          </w:tcPr>
          <w:p>
            <w:pPr>
              <w:pStyle w:val="Normal"/>
              <w:jc w:val="center"/>
              <w:rPr>
                <w:rFonts w:eastAsia="Arial Unicode MS"/>
                <w:b/>
                <w:bCs/>
                <w:sz w:val="14"/>
                <w:szCs w:val="18"/>
              </w:rPr>
            </w:pPr>
            <w:r>
              <w:rPr>
                <w:b/>
                <w:bCs/>
                <w:sz w:val="14"/>
                <w:szCs w:val="18"/>
              </w:rPr>
              <w:t>NBHK</w:t>
            </w:r>
          </w:p>
        </w:tc>
        <w:tc>
          <w:tcPr>
            <w:tcW w:w="960" w:type="dxa"/>
            <w:tcBorders>
              <w:top w:val="single" w:sz="8" w:space="0" w:color="000000"/>
            </w:tcBorders>
            <w:shd w:fill="CCFFFF" w:val="clear"/>
            <w:vAlign w:val="bottom"/>
          </w:tcPr>
          <w:p>
            <w:pPr>
              <w:pStyle w:val="Normal"/>
              <w:jc w:val="center"/>
              <w:rPr>
                <w:rFonts w:eastAsia="Arial Unicode MS"/>
                <w:b/>
                <w:bCs/>
                <w:sz w:val="14"/>
                <w:szCs w:val="18"/>
              </w:rPr>
            </w:pPr>
            <w:r>
              <w:rPr>
                <w:b/>
                <w:bCs/>
                <w:sz w:val="14"/>
                <w:szCs w:val="18"/>
              </w:rPr>
              <w:t>SBSK</w:t>
            </w:r>
          </w:p>
        </w:tc>
        <w:tc>
          <w:tcPr>
            <w:tcW w:w="960" w:type="dxa"/>
            <w:tcBorders>
              <w:top w:val="single" w:sz="8" w:space="0" w:color="000000"/>
            </w:tcBorders>
            <w:shd w:fill="CCFFFF" w:val="clear"/>
            <w:vAlign w:val="bottom"/>
          </w:tcPr>
          <w:p>
            <w:pPr>
              <w:pStyle w:val="Normal"/>
              <w:jc w:val="center"/>
              <w:rPr>
                <w:rFonts w:eastAsia="Arial Unicode MS"/>
                <w:b/>
                <w:bCs/>
                <w:sz w:val="14"/>
                <w:szCs w:val="18"/>
              </w:rPr>
            </w:pPr>
            <w:r>
              <w:rPr>
                <w:b/>
                <w:bCs/>
                <w:sz w:val="14"/>
                <w:szCs w:val="18"/>
              </w:rPr>
              <w:t>SBHK</w:t>
            </w:r>
          </w:p>
        </w:tc>
        <w:tc>
          <w:tcPr>
            <w:tcW w:w="960" w:type="dxa"/>
            <w:tcBorders>
              <w:top w:val="single" w:sz="8" w:space="0" w:color="000000"/>
              <w:end w:val="single" w:sz="8" w:space="0" w:color="000000"/>
            </w:tcBorders>
            <w:shd w:fill="CCFFFF" w:val="clear"/>
            <w:vAlign w:val="bottom"/>
          </w:tcPr>
          <w:p>
            <w:pPr>
              <w:pStyle w:val="Normal"/>
              <w:jc w:val="center"/>
              <w:rPr>
                <w:rFonts w:eastAsia="Arial Unicode MS"/>
                <w:b/>
                <w:bCs/>
                <w:sz w:val="14"/>
                <w:szCs w:val="18"/>
              </w:rPr>
            </w:pPr>
            <w:r>
              <w:rPr>
                <w:b/>
                <w:bCs/>
                <w:sz w:val="14"/>
                <w:szCs w:val="18"/>
              </w:rPr>
              <w:t>BEK</w:t>
            </w:r>
          </w:p>
        </w:tc>
      </w:tr>
      <w:tr>
        <w:trPr>
          <w:trHeight w:val="255" w:hRule="atLeast"/>
        </w:trPr>
        <w:tc>
          <w:tcPr>
            <w:tcW w:w="960" w:type="dxa"/>
            <w:tcBorders>
              <w:top w:val="single" w:sz="8" w:space="0" w:color="000000"/>
              <w:start w:val="single" w:sz="8" w:space="0" w:color="000000"/>
              <w:bottom w:val="single" w:sz="4" w:space="0" w:color="000000"/>
              <w:end w:val="single" w:sz="4" w:space="0" w:color="000000"/>
            </w:tcBorders>
            <w:vAlign w:val="bottom"/>
          </w:tcPr>
          <w:p>
            <w:pPr>
              <w:pStyle w:val="Heading7"/>
              <w:ind w:hanging="0" w:start="0"/>
              <w:rPr>
                <w:rFonts w:ascii="Arial" w:hAnsi="Arial" w:eastAsia="Arial Unicode MS" w:cs="Arial"/>
                <w:szCs w:val="18"/>
              </w:rPr>
            </w:pPr>
            <w:r>
              <w:rPr>
                <w:rFonts w:cs="Arial" w:ascii="Arial" w:hAnsi="Arial"/>
                <w:szCs w:val="18"/>
              </w:rPr>
              <w:t>Jan-01</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690</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650</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660</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635</w:t>
            </w:r>
          </w:p>
        </w:tc>
        <w:tc>
          <w:tcPr>
            <w:tcW w:w="960" w:type="dxa"/>
            <w:tcBorders>
              <w:top w:val="single" w:sz="8" w:space="0" w:color="000000"/>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680</w:t>
            </w:r>
          </w:p>
        </w:tc>
      </w:tr>
      <w:tr>
        <w:trPr>
          <w:trHeight w:val="255" w:hRule="atLeast"/>
        </w:trPr>
        <w:tc>
          <w:tcPr>
            <w:tcW w:w="960"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14"/>
                <w:szCs w:val="18"/>
              </w:rPr>
            </w:pPr>
            <w:r>
              <w:rPr>
                <w:rFonts w:cs="Arial" w:ascii="Arial" w:hAnsi="Arial"/>
                <w:b/>
                <w:bCs/>
                <w:sz w:val="14"/>
                <w:szCs w:val="18"/>
              </w:rPr>
              <w:t>Feb-01</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670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630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630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600</w:t>
            </w:r>
          </w:p>
        </w:tc>
        <w:tc>
          <w:tcPr>
            <w:tcW w:w="960" w:type="dxa"/>
            <w:tcBorders>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650</w:t>
            </w:r>
          </w:p>
        </w:tc>
      </w:tr>
      <w:tr>
        <w:trPr>
          <w:trHeight w:val="255" w:hRule="atLeast"/>
        </w:trPr>
        <w:tc>
          <w:tcPr>
            <w:tcW w:w="960"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14"/>
                <w:szCs w:val="18"/>
              </w:rPr>
            </w:pPr>
            <w:r>
              <w:rPr>
                <w:rFonts w:cs="Arial" w:ascii="Arial" w:hAnsi="Arial"/>
                <w:b/>
                <w:bCs/>
                <w:sz w:val="14"/>
                <w:szCs w:val="18"/>
              </w:rPr>
              <w:t>Mar-01</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635</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585</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580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550</w:t>
            </w:r>
          </w:p>
        </w:tc>
        <w:tc>
          <w:tcPr>
            <w:tcW w:w="960" w:type="dxa"/>
            <w:tcBorders>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610</w:t>
            </w:r>
          </w:p>
        </w:tc>
      </w:tr>
      <w:tr>
        <w:trPr>
          <w:trHeight w:val="255" w:hRule="atLeast"/>
        </w:trPr>
        <w:tc>
          <w:tcPr>
            <w:tcW w:w="960" w:type="dxa"/>
            <w:tcBorders>
              <w:start w:val="single" w:sz="8" w:space="0" w:color="000000"/>
              <w:bottom w:val="single" w:sz="4" w:space="0" w:color="000000"/>
              <w:end w:val="single" w:sz="4" w:space="0" w:color="000000"/>
            </w:tcBorders>
            <w:vAlign w:val="bottom"/>
          </w:tcPr>
          <w:p>
            <w:pPr>
              <w:pStyle w:val="Heading7"/>
              <w:ind w:hanging="0" w:start="0"/>
              <w:rPr>
                <w:rFonts w:ascii="Arial" w:hAnsi="Arial" w:eastAsia="Arial Unicode MS" w:cs="Arial"/>
                <w:szCs w:val="18"/>
              </w:rPr>
            </w:pPr>
            <w:r>
              <w:rPr>
                <w:rFonts w:cs="Arial" w:ascii="Arial" w:hAnsi="Arial"/>
                <w:szCs w:val="18"/>
              </w:rPr>
              <w:t>Apr-01</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590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535</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530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500</w:t>
            </w:r>
          </w:p>
        </w:tc>
        <w:tc>
          <w:tcPr>
            <w:tcW w:w="960" w:type="dxa"/>
            <w:tcBorders>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580</w:t>
            </w:r>
          </w:p>
        </w:tc>
      </w:tr>
      <w:tr>
        <w:trPr>
          <w:trHeight w:val="255" w:hRule="atLeast"/>
        </w:trPr>
        <w:tc>
          <w:tcPr>
            <w:tcW w:w="960"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14"/>
                <w:szCs w:val="18"/>
              </w:rPr>
            </w:pPr>
            <w:r>
              <w:rPr>
                <w:rFonts w:cs="Arial" w:ascii="Arial" w:hAnsi="Arial"/>
                <w:b/>
                <w:bCs/>
                <w:sz w:val="14"/>
                <w:szCs w:val="18"/>
              </w:rPr>
              <w:t>May-01</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560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490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480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440</w:t>
            </w:r>
          </w:p>
        </w:tc>
        <w:tc>
          <w:tcPr>
            <w:tcW w:w="960" w:type="dxa"/>
            <w:tcBorders>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540</w:t>
            </w:r>
          </w:p>
        </w:tc>
      </w:tr>
      <w:tr>
        <w:trPr>
          <w:trHeight w:val="255" w:hRule="atLeast"/>
        </w:trPr>
        <w:tc>
          <w:tcPr>
            <w:tcW w:w="960"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14"/>
                <w:szCs w:val="18"/>
              </w:rPr>
            </w:pPr>
            <w:r>
              <w:rPr>
                <w:rFonts w:eastAsia="Arial" w:cs="Arial" w:ascii="Arial" w:hAnsi="Arial"/>
                <w:b/>
                <w:bCs/>
                <w:sz w:val="14"/>
                <w:szCs w:val="18"/>
              </w:rPr>
              <w:t xml:space="preserve"> </w:t>
            </w:r>
            <w:r>
              <w:rPr>
                <w:rFonts w:cs="Arial" w:ascii="Arial" w:hAnsi="Arial"/>
                <w:b/>
                <w:bCs/>
                <w:sz w:val="14"/>
                <w:szCs w:val="18"/>
              </w:rPr>
              <w:t>Jun-01</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530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460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450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420</w:t>
            </w:r>
          </w:p>
        </w:tc>
        <w:tc>
          <w:tcPr>
            <w:tcW w:w="960" w:type="dxa"/>
            <w:tcBorders>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500</w:t>
            </w:r>
          </w:p>
        </w:tc>
      </w:tr>
      <w:tr>
        <w:trPr>
          <w:trHeight w:val="270" w:hRule="atLeast"/>
        </w:trPr>
        <w:tc>
          <w:tcPr>
            <w:tcW w:w="960" w:type="dxa"/>
            <w:tcBorders>
              <w:start w:val="single" w:sz="8" w:space="0" w:color="000000"/>
              <w:bottom w:val="single" w:sz="8" w:space="0" w:color="000000"/>
              <w:end w:val="single" w:sz="4" w:space="0" w:color="000000"/>
            </w:tcBorders>
            <w:vAlign w:val="bottom"/>
          </w:tcPr>
          <w:p>
            <w:pPr>
              <w:pStyle w:val="Normal"/>
              <w:jc w:val="center"/>
              <w:rPr>
                <w:rFonts w:ascii="Arial" w:hAnsi="Arial" w:eastAsia="Arial Unicode MS" w:cs="Arial"/>
                <w:b/>
                <w:bCs/>
                <w:sz w:val="14"/>
                <w:szCs w:val="18"/>
              </w:rPr>
            </w:pPr>
            <w:r>
              <w:rPr>
                <w:rFonts w:cs="Arial" w:ascii="Arial" w:hAnsi="Arial"/>
                <w:b/>
                <w:bCs/>
                <w:sz w:val="14"/>
                <w:szCs w:val="18"/>
              </w:rPr>
              <w:t>Jul-01</w:t>
            </w:r>
          </w:p>
        </w:tc>
        <w:tc>
          <w:tcPr>
            <w:tcW w:w="960" w:type="dxa"/>
            <w:tcBorders>
              <w:bottom w:val="single" w:sz="8"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490</w:t>
            </w:r>
          </w:p>
        </w:tc>
        <w:tc>
          <w:tcPr>
            <w:tcW w:w="960" w:type="dxa"/>
            <w:tcBorders>
              <w:bottom w:val="single" w:sz="8"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430</w:t>
            </w:r>
          </w:p>
        </w:tc>
        <w:tc>
          <w:tcPr>
            <w:tcW w:w="960" w:type="dxa"/>
            <w:tcBorders>
              <w:bottom w:val="single" w:sz="8"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420</w:t>
            </w:r>
          </w:p>
        </w:tc>
        <w:tc>
          <w:tcPr>
            <w:tcW w:w="960" w:type="dxa"/>
            <w:tcBorders>
              <w:bottom w:val="single" w:sz="8"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400</w:t>
            </w:r>
          </w:p>
        </w:tc>
        <w:tc>
          <w:tcPr>
            <w:tcW w:w="960" w:type="dxa"/>
            <w:tcBorders>
              <w:bottom w:val="single" w:sz="8"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480</w:t>
            </w:r>
          </w:p>
        </w:tc>
      </w:tr>
    </w:tbl>
    <w:p>
      <w:pPr>
        <w:pStyle w:val="Caption"/>
        <w:jc w:val="center"/>
        <w:rPr/>
      </w:pPr>
      <w:r>
        <w:rPr/>
        <w:t xml:space="preserve">Source: </w:t>
      </w:r>
      <w:hyperlink r:id="rId2">
        <w:r>
          <w:rPr>
            <w:rStyle w:val="Hyperlink"/>
          </w:rPr>
          <w:t>www.Resourceinfo.com</w:t>
        </w:r>
      </w:hyperlink>
    </w:p>
    <w:p>
      <w:pPr>
        <w:pStyle w:val="BodyText"/>
        <w:autoSpaceDE w:val="false"/>
        <w:spacing w:before="100" w:after="100"/>
        <w:rPr>
          <w:i/>
          <w:i/>
          <w:iCs/>
          <w:sz w:val="14"/>
        </w:rPr>
      </w:pPr>
      <w:r>
        <w:rPr>
          <w:i/>
          <w:iCs/>
          <w:sz w:val="14"/>
        </w:rPr>
        <w:t>* - Worldwide figures include totals from North America, Nordic countries, Argentina, Austria, Belgium, Brazil, Chile, France, Japan, Morocco, New Zealand, Norway, Portugal, South Africa, South Korea, Spain, and Swaziland. Countries that do not report inventories include Russia, Indonesia, Taiwan, and Thailand.</w:t>
      </w:r>
    </w:p>
    <w:p>
      <w:pPr>
        <w:pStyle w:val="Normal"/>
        <w:rPr>
          <w:i/>
          <w:i/>
          <w:iCs/>
          <w:sz w:val="14"/>
        </w:rPr>
      </w:pPr>
      <w:r>
        <w:rPr>
          <w:i/>
          <w:iCs/>
          <w:sz w:val="14"/>
        </w:rPr>
      </w:r>
    </w:p>
    <w:p>
      <w:pPr>
        <w:pStyle w:val="Normal"/>
        <w:autoSpaceDE w:val="false"/>
        <w:spacing w:before="100" w:after="100"/>
        <w:rPr/>
      </w:pPr>
      <w:r>
        <w:rPr/>
      </w:r>
    </w:p>
    <w:p>
      <w:pPr>
        <w:pStyle w:val="Normal"/>
        <w:autoSpaceDE w:val="false"/>
        <w:spacing w:before="100" w:after="100"/>
        <w:rPr/>
      </w:pPr>
      <w:r>
        <w:rPr/>
      </w:r>
    </w:p>
    <w:p>
      <w:pPr>
        <w:pStyle w:val="Normal"/>
        <w:autoSpaceDE w:val="false"/>
        <w:spacing w:before="100" w:after="100"/>
        <w:rPr/>
      </w:pPr>
      <w:r>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headerReference w:type="default" r:id="rId3"/>
      <w:footerReference w:type="default" r:id="rId4"/>
      <w:type w:val="nextPage"/>
      <w:pgSz w:w="12240" w:h="15840"/>
      <w:pgMar w:left="864"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3">
          <wp:simplePos x="0" y="0"/>
          <wp:positionH relativeFrom="column">
            <wp:posOffset>0</wp:posOffset>
          </wp:positionH>
          <wp:positionV relativeFrom="paragraph">
            <wp:posOffset>-68580</wp:posOffset>
          </wp:positionV>
          <wp:extent cx="1028700" cy="43815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sourceinfo.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2001-08-03T17:39:00Z</dcterms:created>
  <dc:creator>vsingh3</dc:creator>
  <dc:description/>
  <dc:language>en-CA</dc:language>
  <cp:lastModifiedBy>mcaushol</cp:lastModifiedBy>
  <cp:lastPrinted>2001-08-03T13:58:00Z</cp:lastPrinted>
  <dcterms:modified xsi:type="dcterms:W3CDTF">2001-08-03T17:40:00Z</dcterms:modified>
  <cp:revision>3</cp:revision>
  <dc:subject/>
  <dc:title/>
</cp:coreProperties>
</file>