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Market Notice – Preliminary Settlements for the Trade Month of February 2001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numPr>
          <w:ilvl w:val="0"/>
          <w:numId w:val="3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GMC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Billing for Month</w:t>
        <w:tab/>
        <w:tab/>
        <w:tab/>
        <w:tab/>
        <w:tab/>
        <w:tab/>
        <w:t>$  23,027,578.97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Collections</w:t>
        <w:tab/>
        <w:tab/>
        <w:tab/>
        <w:tab/>
        <w:t xml:space="preserve">  </w:t>
        <w:tab/>
        <w:tab/>
        <w:t xml:space="preserve">     (6,066,939.23)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Offset against specific SC market payments</w:t>
        <w:tab/>
        <w:tab/>
        <w:t xml:space="preserve">     (1,026,991.82)</w:t>
      </w:r>
    </w:p>
    <w:p>
      <w:pPr>
        <w:pStyle w:val="Heading1"/>
        <w:rPr/>
      </w:pPr>
      <w:r>
        <w:rPr/>
        <w:t xml:space="preserve">Unpaid </w:t>
      </w:r>
      <w:r>
        <w:rPr>
          <w:b w:val="false"/>
        </w:rPr>
        <w:t>(deducted prorata from market payments)</w:t>
      </w:r>
      <w:r>
        <w:rPr/>
        <w:tab/>
        <w:t>$  15,933,647.92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</w:r>
    </w:p>
    <w:p>
      <w:pPr>
        <w:pStyle w:val="Normal"/>
        <w:numPr>
          <w:ilvl w:val="0"/>
          <w:numId w:val="6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 xml:space="preserve">Market AR (due from SCs) </w:t>
      </w:r>
    </w:p>
    <w:p>
      <w:pPr>
        <w:pStyle w:val="Normal"/>
        <w:ind w:firstLine="720" w:end="0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Billing for Month</w:t>
        <w:tab/>
        <w:tab/>
        <w:tab/>
        <w:tab/>
        <w:tab/>
        <w:tab/>
        <w:t>$  972,588,030.84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Collections</w:t>
        <w:tab/>
        <w:tab/>
        <w:tab/>
        <w:tab/>
        <w:t xml:space="preserve">  </w:t>
        <w:tab/>
        <w:tab/>
        <w:t xml:space="preserve">     (59,861,543.33)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Adjustments and offsets against Market AP</w:t>
        <w:tab/>
        <w:tab/>
        <w:t xml:space="preserve">            (12,445.15)</w:t>
      </w:r>
    </w:p>
    <w:p>
      <w:pPr>
        <w:pStyle w:val="Heading1"/>
        <w:rPr/>
      </w:pPr>
      <w:r>
        <w:rPr/>
        <w:t>Unpaid</w:t>
        <w:tab/>
        <w:t>Market AR</w:t>
        <w:tab/>
        <w:tab/>
        <w:tab/>
        <w:tab/>
        <w:tab/>
        <w:t>$  912,714,042.36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rPr/>
      </w:pPr>
      <w:r>
        <w:rPr>
          <w:rFonts w:cs="Arial;helvetica" w:ascii="Arial;helvetica" w:hAnsi="Arial;helvetica"/>
        </w:rPr>
        <w:tab/>
      </w:r>
      <w:r>
        <w:rPr>
          <w:rFonts w:cs="Arial;helvetica" w:ascii="Arial;helvetica" w:hAnsi="Arial;helvetica"/>
          <w:b/>
        </w:rPr>
        <w:t xml:space="preserve">  </w:t>
      </w:r>
    </w:p>
    <w:p>
      <w:pPr>
        <w:pStyle w:val="Normal"/>
        <w:numPr>
          <w:ilvl w:val="0"/>
          <w:numId w:val="2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 xml:space="preserve">Market AP (due to SCs) </w:t>
      </w:r>
    </w:p>
    <w:p>
      <w:pPr>
        <w:pStyle w:val="Normal"/>
        <w:ind w:firstLine="720" w:end="0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Billing for Month</w:t>
        <w:tab/>
        <w:tab/>
        <w:tab/>
        <w:tab/>
        <w:tab/>
        <w:tab/>
        <w:t>$  952,742,085.50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Payments</w:t>
        <w:tab/>
        <w:tab/>
        <w:tab/>
        <w:tab/>
        <w:t xml:space="preserve">  </w:t>
        <w:tab/>
        <w:tab/>
        <w:t xml:space="preserve">     (42,986,884.00)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Adjustments and offsets against Market AP</w:t>
        <w:tab/>
        <w:tab/>
        <w:t xml:space="preserve">       (2,451,838.46)</w:t>
      </w:r>
    </w:p>
    <w:p>
      <w:pPr>
        <w:pStyle w:val="Heading1"/>
        <w:rPr/>
      </w:pPr>
      <w:r>
        <w:rPr/>
        <w:t>Unpaid</w:t>
        <w:tab/>
        <w:t>Market AP</w:t>
        <w:tab/>
        <w:tab/>
        <w:tab/>
        <w:tab/>
        <w:tab/>
        <w:t>$  907,303,363.04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Payments to SCs</w:t>
      </w:r>
    </w:p>
    <w:p>
      <w:pPr>
        <w:pStyle w:val="Normal"/>
        <w:ind w:firstLine="720" w:end="0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Collected AR</w:t>
        <w:tab/>
        <w:tab/>
        <w:tab/>
        <w:tab/>
        <w:tab/>
        <w:tab/>
        <w:t>$    59,861,543.33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ab/>
        <w:t>GMC offset against specific SC market payments</w:t>
        <w:tab/>
        <w:t xml:space="preserve">       (1,026,991.82)</w:t>
      </w:r>
    </w:p>
    <w:p>
      <w:pPr>
        <w:pStyle w:val="Normal"/>
        <w:rPr/>
      </w:pPr>
      <w:r>
        <w:rPr>
          <w:rFonts w:cs="Arial;helvetica" w:ascii="Arial;helvetica" w:hAnsi="Arial;helvetica"/>
        </w:rPr>
        <w:tab/>
        <w:t>GMC pro rata offset against market payments</w:t>
        <w:tab/>
        <w:t xml:space="preserve"> </w:t>
        <w:tab/>
        <w:t xml:space="preserve">     (15,933,647.92)</w:t>
        <w:tab/>
        <w:tab/>
        <w:tab/>
        <w:t xml:space="preserve">Collections from Jan 2001 GMC received later </w:t>
        <w:tab/>
        <w:tab/>
        <w:t xml:space="preserve">              85,980.41</w:t>
        <w:tab/>
        <w:tab/>
        <w:tab/>
        <w:tab/>
      </w:r>
      <w:r>
        <w:rPr>
          <w:rFonts w:cs="Arial;helvetica" w:ascii="Arial;helvetica" w:hAnsi="Arial;helvetica"/>
          <w:b/>
        </w:rPr>
        <w:t xml:space="preserve">Total paid to SCs </w:t>
        <w:tab/>
        <w:tab/>
        <w:tab/>
        <w:tab/>
        <w:t>$     42,986,884.00</w:t>
      </w:r>
    </w:p>
    <w:p>
      <w:pPr>
        <w:pStyle w:val="Normal"/>
        <w:rPr>
          <w:rFonts w:ascii="Arial;helvetica" w:hAnsi="Arial;helvetica" w:cs="Arial;helvetica"/>
          <w:b/>
        </w:rPr>
      </w:pPr>
      <w:r>
        <w:rPr>
          <w:rFonts w:cs="Arial;helvetica" w:ascii="Arial;helvetica" w:hAnsi="Arial;helvetica"/>
          <w:b/>
        </w:rPr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numPr>
          <w:ilvl w:val="0"/>
          <w:numId w:val="5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Payments to SCs were made on May 4, 2001.</w:t>
      </w:r>
    </w:p>
    <w:p>
      <w:pPr>
        <w:pStyle w:val="Normal"/>
        <w:numPr>
          <w:ilvl w:val="0"/>
          <w:numId w:val="7"/>
        </w:numPr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  <w:t>Also note that the payment wires note the invoice being paid.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Arial">
    <w:altName w:val="helvetica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rFonts w:ascii="Arial;helvetica" w:hAnsi="Arial;helvetica" w:cs="Arial;helvetic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;helvetica" w:hAnsi="Arial;helvetica" w:cs="Arial;helvetica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2001-05-07T21:19:00Z</dcterms:created>
  <dc:creator>Michael Epstein</dc:creator>
  <dc:description/>
  <dc:language>en-CA</dc:language>
  <cp:lastModifiedBy>Byron Woertz</cp:lastModifiedBy>
  <dcterms:modified xsi:type="dcterms:W3CDTF">2001-05-07T21:19:00Z</dcterms:modified>
  <cp:revision>2</cp:revision>
  <dc:subject/>
  <dc:title>Market Notice – Final Settlements for the Trade Month of January 2001</dc:title>
</cp:coreProperties>
</file>