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b/>
          <w:sz w:val="28"/>
        </w:rPr>
      </w:pPr>
      <w:r>
        <w:rPr>
          <w:b/>
          <w:sz w:val="28"/>
        </w:rPr>
        <w:t>Proposed 2001 Market Stabilization Plan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DRAFT for Stakeholder Discussion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9"/>
        </w:numPr>
        <w:rPr>
          <w:b/>
          <w:i/>
          <w:i/>
        </w:rPr>
      </w:pPr>
      <w:r>
        <w:rPr>
          <w:b/>
          <w:i/>
        </w:rPr>
        <w:t>Objectives of the Plan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Control cost impacts on California consumers – mitigate market power and use available generating resources efficiently.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Operational Stability – ensure feasible schedules, reduce real-time procurement needs, ensure transmission and generation feasibility prior to real time.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Implementation prior to Summer 2001 – simplicity of design, efficient use of existing procedures and facilities.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>
          <w:b/>
          <w:i/>
          <w:i/>
        </w:rPr>
      </w:pPr>
      <w:r>
        <w:rPr>
          <w:b/>
          <w:i/>
        </w:rPr>
        <w:t>Scope of the Plan</w:t>
      </w:r>
    </w:p>
    <w:p>
      <w:pPr>
        <w:pStyle w:val="Normal"/>
        <w:rPr/>
      </w:pPr>
      <w:r>
        <w:rPr/>
        <w:t xml:space="preserve">Short-term measures from now through Summer 2002, or until longer-term market redesign elements can be implemented.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>
          <w:b/>
          <w:i/>
          <w:i/>
        </w:rPr>
      </w:pPr>
      <w:r>
        <w:rPr>
          <w:b/>
          <w:i/>
        </w:rPr>
        <w:t>Principal Elements of the Plan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b/>
          <w:i/>
        </w:rPr>
        <w:t xml:space="preserve">(=&gt; market power mitigation and cost control) </w:t>
      </w:r>
      <w:r>
        <w:rPr/>
        <w:t xml:space="preserve"> All generating resources within ISO control area to be subject to resource-specific cost-based bid caps (RCBCs) in ISO markets for energy, ancillary services and congestion management.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Bid caps for energy to include incremental fuel cost, NOx emission cost, and variable O&amp;M.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Payment for some portion of start-up and no-load costs for units committed day-ahead by ISO.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b/>
          <w:i/>
        </w:rPr>
        <w:t>(=&gt; operational stability, reduction of real-time uncertainty)</w:t>
      </w:r>
      <w:r>
        <w:rPr/>
        <w:t xml:space="preserve">  ISO to implement and operate new day-ahead and hour-ahead markets for energy and unit commitment to cover “net short” position, i.e., shortfall between ISO load forecast and day-ahead scheduled load.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Transmission-constrained unit commitment and dispatch, based on existing zonal structure and retaining existing RMR pre-dispatch.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i/>
          <w:u w:val="single"/>
        </w:rPr>
        <w:t>Payment in ISO Markets, Option 1:</w:t>
      </w:r>
      <w:r>
        <w:rPr/>
        <w:t xml:space="preserve"> In-area resources paid “as-bid” based on RCBCs. </w:t>
      </w:r>
      <w:r>
        <w:rPr>
          <w:i/>
          <w:u w:val="single"/>
        </w:rPr>
        <w:t>Option 2:</w:t>
      </w:r>
      <w:r>
        <w:rPr/>
        <w:t xml:space="preserve"> In-area resources paid MCP based on RCBCs.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Out-of-state resources bidding into ISO markets are price takers and receive either: RCBC of highest-cost in-area resource dispatched in the interval (under Option 1 above), or MCP (under Option 2).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Under Option 1, ISO would calculate and post MCP in each ISO market, for information purposes but not for settlement.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i/>
          <w:u w:val="single"/>
        </w:rPr>
        <w:t>A/S Procurement Option 1:</w:t>
      </w:r>
      <w:r>
        <w:rPr/>
        <w:t xml:space="preserve"> Simultaneous optimization of energy, congestion management, and A/S. </w:t>
      </w:r>
      <w:r>
        <w:rPr>
          <w:i/>
          <w:u w:val="single"/>
        </w:rPr>
        <w:t>Option 2:</w:t>
      </w:r>
      <w:r>
        <w:rPr/>
        <w:t xml:space="preserve"> Under MCP payment option, procure A/S separately subsequent to energy and congestion management.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i/>
          <w:u w:val="single"/>
        </w:rPr>
        <w:t>Market Separation Rule (MSR) Option 1:</w:t>
      </w:r>
      <w:r>
        <w:rPr/>
        <w:t xml:space="preserve"> Continue to require submission of balanced schedules by SCs, and retain MSR in congestion management to keep schedules balanced. </w:t>
      </w:r>
      <w:r>
        <w:rPr>
          <w:i/>
          <w:u w:val="single"/>
        </w:rPr>
        <w:t>Option 2:</w:t>
      </w:r>
      <w:r>
        <w:rPr/>
        <w:t xml:space="preserve"> Continue to require submission of balanced schedules by SCs, and suspend MSR so that final schedules may not be balanced. </w:t>
      </w:r>
      <w:r>
        <w:rPr>
          <w:i/>
          <w:u w:val="single"/>
        </w:rPr>
        <w:t>Option 3:</w:t>
      </w:r>
      <w:r>
        <w:rPr/>
        <w:t xml:space="preserve"> Allow SCs to submit unbalanced schedules and incorporate unbalanced generation or load in day-ahead net short procurement.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Similar markets operated on hour-ahead basis, to perform additional procurement as needed to meet changes in load forecast or system conditions. 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>
          <w:b/>
          <w:i/>
        </w:rPr>
        <w:t>(=&gt; market power mitigation, prevention of “megawatt laundering”</w:t>
      </w:r>
      <w:r>
        <w:rPr/>
        <w:t xml:space="preserve">)  ISO to seek authority from FERC to require in-control-area resources to make full capacity available to meet ISO system load under capacity shortage conditions.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ISO declares system shortage prior to day-ahead market when available in-area capacity plus contracted imports falls below forecasted load + 7% reserves.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Full capacity of in-area resources must appear in day-ahead schedule against in-area load or bid into day-ahead markets.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RCBCs used as standing bids if resource fails to submit bids.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ISO to provide capacity payments (similar to today’s RMR) to resources to compensate for standing availability to meet system shortages.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Out-of-state resources also eligible for capacity payments in return for commitment to bid into day-ahead markets.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>
          <w:b/>
          <w:i/>
          <w:i/>
        </w:rPr>
      </w:pPr>
      <w:r>
        <w:rPr>
          <w:b/>
          <w:i/>
        </w:rPr>
        <w:t>Assumptions and Requirements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 xml:space="preserve">FERC approves ISO authority to require in-area resources to serve in-area loads during system shortage conditions.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ISO capacity payment must be accepted by FERC as adequate compensation to resources for standing availability.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 xml:space="preserve">FERC approves RCBC regime for all in-area resources, and directs suppliers to file cost-based rate information.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 xml:space="preserve">Day-ahead scheduling by CDWR or all forward energy purchases made by the State on behalf of UDC load.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 xml:space="preserve">Compatibility between the terms of power-purchase contracts negotiated by the State and the operating and scheduling practices of the ISO.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 xml:space="preserve">Establishment of credit-worthy buyers to guarantee payment for all ISO procurement in day-ahead, hour-ahead and real-time markets.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>
          <w:b/>
          <w:i/>
          <w:i/>
        </w:rPr>
      </w:pPr>
      <w:r>
        <w:rPr>
          <w:b/>
          <w:i/>
        </w:rPr>
        <w:t>Outstanding Issues</w:t>
      </w:r>
    </w:p>
    <w:p>
      <w:pPr>
        <w:pStyle w:val="Normal"/>
        <w:rPr/>
      </w:pPr>
      <w:r>
        <w:rPr/>
        <w:t xml:space="preserve">MCP versus as-bid payment options. </w:t>
      </w:r>
    </w:p>
    <w:p>
      <w:pPr>
        <w:pStyle w:val="Normal"/>
        <w:rPr/>
      </w:pPr>
      <w:r>
        <w:rPr/>
        <w:t xml:space="preserve">A/S integrated with Energy and Congestion Management, or separate. </w:t>
      </w:r>
    </w:p>
    <w:p>
      <w:pPr>
        <w:pStyle w:val="Normal"/>
        <w:rPr/>
      </w:pPr>
      <w:r>
        <w:rPr/>
        <w:t xml:space="preserve">Transmission management and market separation rule – how to respect bilateral schedules. </w:t>
      </w:r>
    </w:p>
    <w:p>
      <w:pPr>
        <w:pStyle w:val="Normal"/>
        <w:rPr/>
      </w:pPr>
      <w:r>
        <w:rPr/>
        <w:t xml:space="preserve">Amount of capacity payments – applicability of RMR model. </w:t>
      </w:r>
    </w:p>
    <w:p>
      <w:pPr>
        <w:pStyle w:val="Normal"/>
        <w:rPr/>
      </w:pPr>
      <w:r>
        <w:rPr/>
        <w:t xml:space="preserve">Availability standards – how to treat forced outages of generators obligated to serve in-area load during shortage conditions. </w:t>
      </w:r>
    </w:p>
    <w:p>
      <w:pPr>
        <w:pStyle w:val="Normal"/>
        <w:rPr/>
      </w:pPr>
      <w:r>
        <w:rPr/>
        <w:t xml:space="preserve">Impact on FTR market of requirement to serve in-area load – substantial prices paid at auction for export FTRs. </w:t>
      </w:r>
    </w:p>
    <w:p>
      <w:pPr>
        <w:pStyle w:val="Normal"/>
        <w:rPr/>
      </w:pPr>
      <w:r>
        <w:rPr/>
        <w:t xml:space="preserve">Treatment of small supplier portfolios, to maximize incentives and minimize transaction costs to participate in ISO markets.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altName w:val=" Helvetica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2001 Market Stabilization</w:t>
      <w:tab/>
      <w:t>DRAFT</w:t>
      <w:tab/>
      <w:t xml:space="preserve">March 7, 2001,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/>
      <w:t xml:space="preserve">          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California ISO</w:t>
      <w:tab/>
      <w:tab/>
      <w:t>DRAFT – Work in Progress</w:t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decimal"/>
      <w:lvlText w:val="1.%2.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120" w:after="0"/>
    </w:pPr>
    <w:rPr>
      <w:rFonts w:ascii="Arial; Helvetica" w:hAnsi="Arial; Helvetica" w:eastAsia="Times New Roman;Times New Roman" w:cs="Arial; Helvetica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440" w:leader="none"/>
      </w:tabs>
      <w:spacing w:before="240" w:after="60"/>
      <w:outlineLvl w:val="3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before="0" w:after="0"/>
    </w:pPr>
    <w:rPr>
      <w:b/>
      <w:i/>
      <w:sz w:val="20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before="0" w:after="0"/>
    </w:pPr>
    <w:rPr>
      <w:sz w:val="20"/>
    </w:rPr>
  </w:style>
  <w:style w:type="paragraph" w:styleId="FootnoteText">
    <w:name w:val="footnote text"/>
    <w:basedOn w:val="Normal"/>
    <w:pPr>
      <w:spacing w:before="0" w:after="0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DMA Draft.dot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2001-03-08T00:05:00Z</dcterms:created>
  <dc:creator>Lorenzo Kristov</dc:creator>
  <dc:description/>
  <dc:language>en-CA</dc:language>
  <cp:lastModifiedBy>Byron Woertz</cp:lastModifiedBy>
  <dcterms:modified xsi:type="dcterms:W3CDTF">2001-03-08T00:05:00Z</dcterms:modified>
  <cp:revision>2</cp:revision>
  <dc:subject/>
  <dc:title>Congestion Reform Issues</dc:title>
</cp:coreProperties>
</file>