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Subtitle"/>
        <w:rPr>
          <w:sz w:val="22"/>
        </w:rPr>
      </w:pPr>
      <w:r>
        <w:rPr>
          <w:sz w:val="22"/>
        </w:rPr>
        <w:t>Market Reforms</w:t>
      </w:r>
    </w:p>
    <w:p>
      <w:pPr>
        <w:pStyle w:val="Normal"/>
        <w:rPr>
          <w:sz w:val="22"/>
        </w:rPr>
      </w:pPr>
      <w:r>
        <w:rPr>
          <w:sz w:val="22"/>
        </w:rPr>
      </w:r>
    </w:p>
    <w:p>
      <w:pPr>
        <w:pStyle w:val="Normal"/>
        <w:numPr>
          <w:ilvl w:val="0"/>
          <w:numId w:val="2"/>
        </w:numPr>
        <w:rPr>
          <w:sz w:val="22"/>
        </w:rPr>
      </w:pPr>
      <w:r>
        <w:rPr>
          <w:sz w:val="22"/>
        </w:rPr>
        <w:t xml:space="preserve">Establish a fully independent CAISO Board through an open process as described in the Commission’s November 2000 Order.   The CAISO market monitoring function must report directly to this independent CAISO Board. </w:t>
      </w:r>
    </w:p>
    <w:p>
      <w:pPr>
        <w:pStyle w:val="Normal"/>
        <w:rPr>
          <w:sz w:val="22"/>
        </w:rPr>
      </w:pPr>
      <w:r>
        <w:rPr>
          <w:sz w:val="22"/>
        </w:rPr>
      </w:r>
    </w:p>
    <w:p>
      <w:pPr>
        <w:pStyle w:val="Normal"/>
        <w:numPr>
          <w:ilvl w:val="0"/>
          <w:numId w:val="2"/>
        </w:numPr>
        <w:rPr>
          <w:sz w:val="22"/>
        </w:rPr>
      </w:pPr>
      <w:r>
        <w:rPr>
          <w:sz w:val="22"/>
        </w:rPr>
        <w:t>Provide transparent access to CAISO information on network status and operational software.  CAISO must provide each party with access to its own transaction data.</w:t>
      </w:r>
    </w:p>
    <w:p>
      <w:pPr>
        <w:pStyle w:val="Normal"/>
        <w:rPr>
          <w:sz w:val="22"/>
        </w:rPr>
      </w:pPr>
      <w:r>
        <w:rPr>
          <w:sz w:val="22"/>
        </w:rPr>
      </w:r>
    </w:p>
    <w:p>
      <w:pPr>
        <w:pStyle w:val="Normal"/>
        <w:numPr>
          <w:ilvl w:val="0"/>
          <w:numId w:val="2"/>
        </w:numPr>
        <w:rPr>
          <w:sz w:val="22"/>
        </w:rPr>
      </w:pPr>
      <w:r>
        <w:rPr>
          <w:sz w:val="22"/>
        </w:rPr>
        <w:t>Modify the CAISO tariff and Participating Generator Agreements (PGA’s) to clarify that the CAISO does not have the right to recall firm export sales.</w:t>
      </w:r>
    </w:p>
    <w:p>
      <w:pPr>
        <w:pStyle w:val="Normal"/>
        <w:rPr>
          <w:sz w:val="22"/>
        </w:rPr>
      </w:pPr>
      <w:r>
        <w:rPr>
          <w:sz w:val="22"/>
        </w:rPr>
      </w:r>
    </w:p>
    <w:p>
      <w:pPr>
        <w:pStyle w:val="Normal"/>
        <w:numPr>
          <w:ilvl w:val="0"/>
          <w:numId w:val="2"/>
        </w:numPr>
        <w:rPr>
          <w:sz w:val="22"/>
        </w:rPr>
      </w:pPr>
      <w:r>
        <w:rPr>
          <w:sz w:val="22"/>
        </w:rPr>
        <w:t>Modify CAISO protocols to correct real time pricing anomalies produced by Amendment 29.</w:t>
      </w:r>
    </w:p>
    <w:p>
      <w:pPr>
        <w:pStyle w:val="Normal"/>
        <w:rPr>
          <w:sz w:val="22"/>
        </w:rPr>
      </w:pPr>
      <w:r>
        <w:rPr>
          <w:sz w:val="22"/>
        </w:rPr>
      </w:r>
    </w:p>
    <w:p>
      <w:pPr>
        <w:pStyle w:val="Normal"/>
        <w:numPr>
          <w:ilvl w:val="0"/>
          <w:numId w:val="2"/>
        </w:numPr>
        <w:rPr>
          <w:sz w:val="22"/>
        </w:rPr>
      </w:pPr>
      <w:r>
        <w:rPr>
          <w:sz w:val="22"/>
        </w:rPr>
        <w:t xml:space="preserve">Modify CAISO scheduling timelines to allow schedule changes up to twenty minutes before real time, consistent with prevailing practices within the WSCC. </w:t>
      </w:r>
    </w:p>
    <w:p>
      <w:pPr>
        <w:pStyle w:val="Normal"/>
        <w:rPr>
          <w:sz w:val="22"/>
        </w:rPr>
      </w:pPr>
      <w:r>
        <w:rPr>
          <w:sz w:val="22"/>
        </w:rPr>
      </w:r>
    </w:p>
    <w:p>
      <w:pPr>
        <w:pStyle w:val="Normal"/>
        <w:numPr>
          <w:ilvl w:val="0"/>
          <w:numId w:val="2"/>
        </w:numPr>
        <w:rPr>
          <w:sz w:val="22"/>
        </w:rPr>
      </w:pPr>
      <w:r>
        <w:rPr>
          <w:sz w:val="22"/>
        </w:rPr>
        <w:t>Modify CAISO tariff to remove OOM provisions, or alternatively, to establish a clear acquisition process for OOM calls and modify the procedures for allocating these costs.</w:t>
      </w:r>
    </w:p>
    <w:p>
      <w:pPr>
        <w:pStyle w:val="Normal"/>
        <w:rPr>
          <w:sz w:val="22"/>
        </w:rPr>
      </w:pPr>
      <w:r>
        <w:rPr>
          <w:sz w:val="22"/>
        </w:rPr>
      </w:r>
    </w:p>
    <w:p>
      <w:pPr>
        <w:pStyle w:val="Normal"/>
        <w:numPr>
          <w:ilvl w:val="0"/>
          <w:numId w:val="2"/>
        </w:numPr>
        <w:rPr>
          <w:sz w:val="22"/>
        </w:rPr>
      </w:pPr>
      <w:r>
        <w:rPr>
          <w:sz w:val="22"/>
        </w:rPr>
        <w:t>Modify CAISO tariff to make payment terms consistent with those of the WSPP Agreement (i.e. payment on the 20</w:t>
      </w:r>
      <w:r>
        <w:rPr>
          <w:sz w:val="22"/>
          <w:vertAlign w:val="superscript"/>
        </w:rPr>
        <w:t>th</w:t>
      </w:r>
      <w:r>
        <w:rPr>
          <w:sz w:val="22"/>
        </w:rPr>
        <w:t xml:space="preserve"> day of the invoicing month or the 10</w:t>
      </w:r>
      <w:r>
        <w:rPr>
          <w:sz w:val="22"/>
          <w:vertAlign w:val="superscript"/>
        </w:rPr>
        <w:t>th</w:t>
      </w:r>
      <w:r>
        <w:rPr>
          <w:sz w:val="22"/>
        </w:rPr>
        <w:t xml:space="preserve"> day after receipt of invoice, whichever is later).</w:t>
      </w:r>
    </w:p>
    <w:p>
      <w:pPr>
        <w:pStyle w:val="Normal"/>
        <w:rPr>
          <w:sz w:val="22"/>
        </w:rPr>
      </w:pPr>
      <w:r>
        <w:rPr>
          <w:sz w:val="22"/>
        </w:rPr>
      </w:r>
    </w:p>
    <w:p>
      <w:pPr>
        <w:pStyle w:val="Normal"/>
        <w:numPr>
          <w:ilvl w:val="0"/>
          <w:numId w:val="2"/>
        </w:numPr>
        <w:rPr>
          <w:sz w:val="22"/>
        </w:rPr>
      </w:pPr>
      <w:r>
        <w:rPr>
          <w:sz w:val="22"/>
        </w:rPr>
        <w:t>Modify CAISO tariff to provide firm importers with certainty over pricing (i.e. no ten-minute tie line scheduling, which results in lowering of import pricing value).</w:t>
      </w:r>
    </w:p>
    <w:p>
      <w:pPr>
        <w:pStyle w:val="Heading1"/>
        <w:ind w:hanging="0" w:start="0"/>
        <w:rPr>
          <w:sz w:val="22"/>
        </w:rPr>
      </w:pPr>
      <w:r>
        <w:rPr>
          <w:sz w:val="22"/>
        </w:rPr>
      </w:r>
    </w:p>
    <w:p>
      <w:pPr>
        <w:pStyle w:val="Normal"/>
        <w:numPr>
          <w:ilvl w:val="0"/>
          <w:numId w:val="3"/>
        </w:numPr>
        <w:rPr>
          <w:sz w:val="22"/>
        </w:rPr>
      </w:pPr>
      <w:r>
        <w:rPr>
          <w:sz w:val="22"/>
        </w:rPr>
        <w:t>Require CAISO to implement a demand response program within 30 days.</w:t>
      </w:r>
    </w:p>
    <w:p>
      <w:pPr>
        <w:pStyle w:val="Normal"/>
        <w:rPr>
          <w:sz w:val="22"/>
        </w:rPr>
      </w:pPr>
      <w:r>
        <w:rPr>
          <w:sz w:val="22"/>
        </w:rPr>
      </w:r>
    </w:p>
    <w:p>
      <w:pPr>
        <w:pStyle w:val="Normal"/>
        <w:rPr>
          <w:sz w:val="22"/>
        </w:rPr>
      </w:pPr>
      <w:r>
        <w:rPr>
          <w:sz w:val="22"/>
        </w:rPr>
      </w:r>
    </w:p>
    <w:p>
      <w:pPr>
        <w:pStyle w:val="Heading1"/>
        <w:ind w:hanging="0" w:start="0"/>
        <w:rPr>
          <w:sz w:val="22"/>
        </w:rPr>
      </w:pPr>
      <w:r>
        <w:rPr>
          <w:sz w:val="22"/>
        </w:rPr>
        <w:t>Creditworthiness</w:t>
      </w:r>
    </w:p>
    <w:p>
      <w:pPr>
        <w:pStyle w:val="Normal"/>
        <w:rPr>
          <w:sz w:val="22"/>
        </w:rPr>
      </w:pPr>
      <w:r>
        <w:rPr>
          <w:sz w:val="22"/>
        </w:rPr>
      </w:r>
    </w:p>
    <w:p>
      <w:pPr>
        <w:pStyle w:val="Normal"/>
        <w:numPr>
          <w:ilvl w:val="0"/>
          <w:numId w:val="3"/>
        </w:numPr>
        <w:rPr>
          <w:sz w:val="22"/>
        </w:rPr>
      </w:pPr>
      <w:r>
        <w:rPr>
          <w:sz w:val="22"/>
        </w:rPr>
        <w:t xml:space="preserve">The ISO shall be restricted from conducting business with Scheduling Coordinators (SC) that default on payment or are no longer creditworthy under the rating standards of all of the three major credit rating agencies as defined in the ISO tariff.  The ISO shall create a mechanism whereby customers of such a SC are reallocated to the CDWR, and the CDWR shall act as the SC of last resort until such time as the SC re-establishes creditworthiness.   </w:t>
      </w:r>
    </w:p>
    <w:p>
      <w:pPr>
        <w:pStyle w:val="Normal"/>
        <w:rPr>
          <w:sz w:val="22"/>
        </w:rPr>
      </w:pPr>
      <w:r>
        <w:rPr>
          <w:sz w:val="22"/>
        </w:rPr>
      </w:r>
    </w:p>
    <w:p>
      <w:pPr>
        <w:pStyle w:val="Normal"/>
        <w:numPr>
          <w:ilvl w:val="0"/>
          <w:numId w:val="3"/>
        </w:numPr>
        <w:rPr>
          <w:sz w:val="22"/>
        </w:rPr>
      </w:pPr>
      <w:r>
        <w:rPr>
          <w:sz w:val="22"/>
        </w:rPr>
        <w:t xml:space="preserve">The ISO shall comply with all existing FERC orders mandating that it only deal with creditworthy counterparties including, but not limited to, the assurance of creditworthy counterparties for payment obligations related to SRA and RMR contracts.      </w:t>
      </w:r>
    </w:p>
    <w:p>
      <w:pPr>
        <w:pStyle w:val="Normal"/>
        <w:rPr>
          <w:sz w:val="22"/>
        </w:rPr>
      </w:pPr>
      <w:r>
        <w:rPr>
          <w:sz w:val="22"/>
        </w:rPr>
      </w:r>
    </w:p>
    <w:p>
      <w:pPr>
        <w:pStyle w:val="Normal"/>
        <w:numPr>
          <w:ilvl w:val="0"/>
          <w:numId w:val="3"/>
        </w:numPr>
        <w:rPr>
          <w:sz w:val="22"/>
        </w:rPr>
      </w:pPr>
      <w:r>
        <w:rPr>
          <w:sz w:val="22"/>
        </w:rPr>
        <w:t>The ISO shall modify its tariff Section 2.2.3.3 to obligate the ISO to periodically re-determine the creditworthiness of all CAISO participants.  Any new credit support required upon review shall be in place for at least one (1) year.</w:t>
      </w:r>
    </w:p>
    <w:p>
      <w:pPr>
        <w:pStyle w:val="Normal"/>
        <w:rPr>
          <w:sz w:val="22"/>
        </w:rPr>
      </w:pPr>
      <w:r>
        <w:rPr>
          <w:sz w:val="22"/>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720" w:hanging="360"/>
      </w:pPr>
      <w:rPr>
        <w:rFonts w:ascii="Symbol" w:hAnsi="Symbol" w:cs="Symbol" w:hint="default"/>
      </w:rPr>
    </w:lvl>
  </w:abstractNum>
  <w:abstractNum w:abstractNumId="3">
    <w:lvl w:ilvl="0">
      <w:start w:val="1"/>
      <w:numFmt w:val="bullet"/>
      <w:lvlText w:val=""/>
      <w:lvlJc w:val="start"/>
      <w:pPr>
        <w:tabs>
          <w:tab w:val="num" w:pos="720"/>
        </w:tabs>
        <w:ind w:start="720" w:hanging="360"/>
      </w:pPr>
      <w:rPr>
        <w:rFonts w:ascii="Symbol" w:hAnsi="Symbol" w:cs="Symbol" w:hint="default"/>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bCs/>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Symbol" w:hAnsi="Symbol" w:cs="Symbol"/>
      <w:color w:val="000000"/>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4z3">
    <w:name w:val="WW8Num4z3"/>
    <w:qFormat/>
    <w:rPr>
      <w:rFonts w:ascii="Symbol" w:hAnsi="Symbol" w:cs="Symbol"/>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7z0">
    <w:name w:val="WW8Num7z0"/>
    <w:qFormat/>
    <w:rPr>
      <w:rFonts w:ascii="Symbol" w:hAnsi="Symbol" w:cs="Symbol"/>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DefaultParagraphFont">
    <w:name w:val="Default Paragraph Font"/>
    <w:qFormat/>
    <w:rPr/>
  </w:style>
  <w:style w:type="paragraph" w:styleId="Heading">
    <w:name w:val="Heading"/>
    <w:basedOn w:val="Normal"/>
    <w:next w:val="BodyText"/>
    <w:qFormat/>
    <w:pPr>
      <w:jc w:val="center"/>
    </w:pPr>
    <w:rPr>
      <w:b/>
      <w:bCs/>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Subtitle">
    <w:name w:val="Subtitle"/>
    <w:basedOn w:val="Normal"/>
    <w:next w:val="BodyText"/>
    <w:qFormat/>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2001-06-27T19:38:00Z</dcterms:created>
  <dc:creator>ralvare2</dc:creator>
  <dc:description/>
  <dc:language>en-CA</dc:language>
  <cp:lastModifiedBy>ralvare2</cp:lastModifiedBy>
  <cp:lastPrinted>2001-06-27T18:50:00Z</cp:lastPrinted>
  <dcterms:modified xsi:type="dcterms:W3CDTF">2001-06-27T20:43:00Z</dcterms:modified>
  <cp:revision>9</cp:revision>
  <dc:subject/>
  <dc:title>Market Reform Group</dc:title>
</cp:coreProperties>
</file>