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240" w:after="60"/>
        <w:ind w:hanging="0" w:start="0"/>
        <w:rPr/>
      </w:pPr>
      <w:r>
        <w:rPr/>
        <w:t>Market Pricing Mechanism</w:t>
      </w:r>
    </w:p>
    <w:p>
      <w:pPr>
        <w:pStyle w:val="Normal"/>
        <w:rPr>
          <w:sz w:val="22"/>
        </w:rPr>
      </w:pPr>
      <w:r>
        <w:rPr>
          <w:sz w:val="22"/>
        </w:rPr>
      </w:r>
    </w:p>
    <w:p>
      <w:pPr>
        <w:pStyle w:val="Normal"/>
        <w:rPr>
          <w:sz w:val="22"/>
        </w:rPr>
      </w:pPr>
      <w:r>
        <w:rPr>
          <w:sz w:val="22"/>
        </w:rPr>
        <w:t>Enron Broadband Services proposes to adjust the Monthly Recurring Cost (MRC) of certain network segments based upon a monthly analysis of relevant bandwidth indices.  This memo details the segments for which this applies as well as the specific mechanism to be utilized.</w:t>
      </w:r>
    </w:p>
    <w:p>
      <w:pPr>
        <w:pStyle w:val="Normal"/>
        <w:rPr>
          <w:sz w:val="22"/>
        </w:rPr>
      </w:pPr>
      <w:r>
        <w:rPr>
          <w:sz w:val="22"/>
        </w:rPr>
      </w:r>
    </w:p>
    <w:p>
      <w:pPr>
        <w:pStyle w:val="Normal"/>
        <w:rPr/>
      </w:pPr>
      <w:r>
        <w:rPr>
          <w:sz w:val="22"/>
        </w:rPr>
        <w:t xml:space="preserve">The index to be used for the United States based routes is the one-month New York – Los Angeles DS3, as published weekly by </w:t>
      </w:r>
      <w:r>
        <w:rPr>
          <w:sz w:val="22"/>
          <w:u w:val="single"/>
        </w:rPr>
        <w:t>Dow Jones Newswires</w:t>
      </w:r>
      <w:r>
        <w:rPr>
          <w:sz w:val="22"/>
        </w:rPr>
        <w:t>.  The index is published for one-month delivery, three (3) months in advance.  For example, during June, pricing is published for one-month contracts with delivery in October, November, and December.  During July, pricing will be published for November, December, and January.  Should that index become unavailable for whatever reason, the secondary index to be used is the 3-month New York – Los Angeles OC3, as published weekly by Dow Jones Newswires.  Should both of the previous indices become unavailable for whatever reason, the default mechanism for the remainder of the contract will be to fix the price at the last monthly rate for the duration of the contract.</w:t>
      </w:r>
    </w:p>
    <w:p>
      <w:pPr>
        <w:pStyle w:val="Normal"/>
        <w:rPr>
          <w:sz w:val="22"/>
        </w:rPr>
      </w:pPr>
      <w:r>
        <w:rPr>
          <w:sz w:val="22"/>
        </w:rPr>
      </w:r>
    </w:p>
    <w:p>
      <w:pPr>
        <w:pStyle w:val="Normal"/>
        <w:rPr>
          <w:sz w:val="22"/>
        </w:rPr>
      </w:pPr>
      <w:r>
        <w:rPr>
          <w:sz w:val="22"/>
        </w:rPr>
        <w:t>The index to be used for the European based routes is the one-month XXXXXX DS3, as published weekly by Dow Jones Newswires.  Should that index become unavailable for whatever reason, the secondary index to be used is the 3-month XXXXXX OC3, as published weekly by Dow Jones Newswires.  Should both of the previous indices become unavailable for whatever reason, the default mechanism for the remainder of the contract will be to fix the price at the last monthly rate for the duration of the contract.</w:t>
      </w:r>
    </w:p>
    <w:p>
      <w:pPr>
        <w:pStyle w:val="Normal"/>
        <w:rPr>
          <w:sz w:val="22"/>
        </w:rPr>
      </w:pPr>
      <w:r>
        <w:rPr>
          <w:sz w:val="22"/>
        </w:rPr>
      </w:r>
    </w:p>
    <w:p>
      <w:pPr>
        <w:pStyle w:val="Normal"/>
        <w:rPr>
          <w:sz w:val="22"/>
        </w:rPr>
      </w:pPr>
      <w:r>
        <w:rPr>
          <w:sz w:val="22"/>
        </w:rPr>
        <w:t>The mechanism to be used for both the United States and European routes is as follows.  At the beginning of each month, Enron will analyze the relevant indices and determine a simple average between the Bid and the Ask price for each index for each week of the prior month.  The average of these midpoints will then be calculated and compared with the prior month’s average of the midpoints to determine a percentage change.  Enron will then adjust the MRC of the relevant circuits for the current (upcoming) by an amount equivalent to the percentage change in the month-to-month midpoint averages.  The only exception to this mechanism is the initial month of the contract, where prices are fixed as per the formal proposal.  Enron will calculate the initial midpoint average at the beginning of the initial month to use as a baseline for subsequent calculations.</w:t>
      </w:r>
    </w:p>
    <w:p>
      <w:pPr>
        <w:pStyle w:val="Normal"/>
        <w:rPr>
          <w:sz w:val="22"/>
        </w:rPr>
      </w:pPr>
      <w:r>
        <w:rPr>
          <w:sz w:val="22"/>
        </w:rPr>
      </w:r>
    </w:p>
    <w:p>
      <w:pPr>
        <w:pStyle w:val="Normal"/>
        <w:rPr>
          <w:sz w:val="22"/>
        </w:rPr>
      </w:pPr>
      <w:r>
        <w:rPr>
          <w:sz w:val="22"/>
        </w:rPr>
        <w:t>This market pricing mechanism is applicable to the following routes and services.</w:t>
      </w:r>
    </w:p>
    <w:p>
      <w:pPr>
        <w:pStyle w:val="Normal"/>
        <w:rPr>
          <w:sz w:val="22"/>
        </w:rPr>
      </w:pPr>
      <w:r>
        <w:rPr>
          <w:sz w:val="22"/>
        </w:rPr>
      </w:r>
    </w:p>
    <w:tbl>
      <w:tblPr>
        <w:tblW w:w="8856" w:type="dxa"/>
        <w:jc w:val="start"/>
        <w:tblInd w:w="0" w:type="dxa"/>
        <w:tblLayout w:type="fixed"/>
        <w:tblCellMar>
          <w:top w:w="0" w:type="dxa"/>
          <w:start w:w="108" w:type="dxa"/>
          <w:bottom w:w="0" w:type="dxa"/>
          <w:end w:w="108" w:type="dxa"/>
        </w:tblCellMar>
      </w:tblPr>
      <w:tblGrid>
        <w:gridCol w:w="2386"/>
        <w:gridCol w:w="2777"/>
        <w:gridCol w:w="3693"/>
      </w:tblGrid>
      <w:tr>
        <w:trPr/>
        <w:tc>
          <w:tcPr>
            <w:tcW w:w="2386" w:type="dxa"/>
            <w:tcBorders>
              <w:top w:val="single" w:sz="12" w:space="0" w:color="008000"/>
              <w:bottom w:val="single" w:sz="6" w:space="0" w:color="008000"/>
            </w:tcBorders>
          </w:tcPr>
          <w:p>
            <w:pPr>
              <w:pStyle w:val="Normal"/>
              <w:rPr>
                <w:b/>
                <w:sz w:val="22"/>
              </w:rPr>
            </w:pPr>
            <w:r>
              <w:rPr>
                <w:b/>
                <w:sz w:val="22"/>
              </w:rPr>
              <w:t>Route</w:t>
            </w:r>
          </w:p>
        </w:tc>
        <w:tc>
          <w:tcPr>
            <w:tcW w:w="2777" w:type="dxa"/>
            <w:tcBorders>
              <w:top w:val="single" w:sz="12" w:space="0" w:color="008000"/>
              <w:bottom w:val="single" w:sz="6" w:space="0" w:color="008000"/>
            </w:tcBorders>
          </w:tcPr>
          <w:p>
            <w:pPr>
              <w:pStyle w:val="Normal"/>
              <w:rPr>
                <w:b/>
                <w:sz w:val="22"/>
              </w:rPr>
            </w:pPr>
            <w:r>
              <w:rPr>
                <w:b/>
                <w:sz w:val="22"/>
              </w:rPr>
              <w:t>Capacity</w:t>
            </w:r>
          </w:p>
        </w:tc>
        <w:tc>
          <w:tcPr>
            <w:tcW w:w="3693" w:type="dxa"/>
            <w:tcBorders>
              <w:top w:val="single" w:sz="12" w:space="0" w:color="008000"/>
              <w:bottom w:val="single" w:sz="6" w:space="0" w:color="008000"/>
            </w:tcBorders>
          </w:tcPr>
          <w:p>
            <w:pPr>
              <w:pStyle w:val="Normal"/>
              <w:rPr>
                <w:b/>
                <w:sz w:val="22"/>
              </w:rPr>
            </w:pPr>
            <w:r>
              <w:rPr>
                <w:b/>
                <w:sz w:val="22"/>
              </w:rPr>
              <w:t>Term</w:t>
            </w:r>
          </w:p>
        </w:tc>
      </w:tr>
      <w:tr>
        <w:trPr/>
        <w:tc>
          <w:tcPr>
            <w:tcW w:w="2386" w:type="dxa"/>
            <w:tcBorders/>
          </w:tcPr>
          <w:p>
            <w:pPr>
              <w:pStyle w:val="Normal"/>
              <w:rPr>
                <w:sz w:val="22"/>
              </w:rPr>
            </w:pPr>
            <w:r>
              <w:rPr>
                <w:sz w:val="22"/>
              </w:rPr>
              <w:t>Cincinnati – New York</w:t>
            </w:r>
          </w:p>
        </w:tc>
        <w:tc>
          <w:tcPr>
            <w:tcW w:w="2777" w:type="dxa"/>
            <w:tcBorders/>
          </w:tcPr>
          <w:p>
            <w:pPr>
              <w:pStyle w:val="Normal"/>
              <w:rPr>
                <w:sz w:val="22"/>
              </w:rPr>
            </w:pPr>
            <w:r>
              <w:rPr>
                <w:sz w:val="22"/>
              </w:rPr>
              <w:t>DS3 Clear Channel Circuit</w:t>
            </w:r>
          </w:p>
        </w:tc>
        <w:tc>
          <w:tcPr>
            <w:tcW w:w="3693" w:type="dxa"/>
            <w:tcBorders/>
          </w:tcPr>
          <w:p>
            <w:pPr>
              <w:pStyle w:val="Normal"/>
              <w:rPr>
                <w:sz w:val="22"/>
              </w:rPr>
            </w:pPr>
            <w:r>
              <w:rPr>
                <w:sz w:val="22"/>
              </w:rPr>
              <w:t>October 1, 2001 – September 30, 2002</w:t>
            </w:r>
          </w:p>
        </w:tc>
      </w:tr>
      <w:tr>
        <w:trPr/>
        <w:tc>
          <w:tcPr>
            <w:tcW w:w="2386" w:type="dxa"/>
            <w:tcBorders/>
          </w:tcPr>
          <w:p>
            <w:pPr>
              <w:pStyle w:val="Normal"/>
              <w:rPr>
                <w:sz w:val="22"/>
              </w:rPr>
            </w:pPr>
            <w:r>
              <w:rPr>
                <w:sz w:val="22"/>
              </w:rPr>
              <w:t>Cologne – Frankfurt</w:t>
            </w:r>
          </w:p>
        </w:tc>
        <w:tc>
          <w:tcPr>
            <w:tcW w:w="2777" w:type="dxa"/>
            <w:tcBorders/>
          </w:tcPr>
          <w:p>
            <w:pPr>
              <w:pStyle w:val="Normal"/>
              <w:rPr>
                <w:sz w:val="22"/>
              </w:rPr>
            </w:pPr>
            <w:r>
              <w:rPr>
                <w:sz w:val="22"/>
              </w:rPr>
              <w:t>E3 Clear Channel Circuit</w:t>
            </w:r>
          </w:p>
        </w:tc>
        <w:tc>
          <w:tcPr>
            <w:tcW w:w="3693" w:type="dxa"/>
            <w:tcBorders/>
          </w:tcPr>
          <w:p>
            <w:pPr>
              <w:pStyle w:val="Normal"/>
              <w:rPr>
                <w:sz w:val="22"/>
              </w:rPr>
            </w:pPr>
            <w:r>
              <w:rPr>
                <w:sz w:val="22"/>
              </w:rPr>
              <w:t>October 1, 2001 – September 30, 2002</w:t>
            </w:r>
          </w:p>
        </w:tc>
      </w:tr>
      <w:tr>
        <w:trPr/>
        <w:tc>
          <w:tcPr>
            <w:tcW w:w="2386" w:type="dxa"/>
            <w:tcBorders/>
          </w:tcPr>
          <w:p>
            <w:pPr>
              <w:pStyle w:val="Normal"/>
              <w:rPr>
                <w:sz w:val="22"/>
              </w:rPr>
            </w:pPr>
            <w:r>
              <w:rPr>
                <w:sz w:val="22"/>
              </w:rPr>
              <w:t>Cincinatti – New York</w:t>
            </w:r>
          </w:p>
        </w:tc>
        <w:tc>
          <w:tcPr>
            <w:tcW w:w="2777" w:type="dxa"/>
            <w:tcBorders/>
          </w:tcPr>
          <w:p>
            <w:pPr>
              <w:pStyle w:val="Normal"/>
              <w:rPr>
                <w:sz w:val="22"/>
              </w:rPr>
            </w:pPr>
            <w:r>
              <w:rPr>
                <w:sz w:val="22"/>
              </w:rPr>
              <w:t>Burstable DS3 IP Transport</w:t>
            </w:r>
          </w:p>
        </w:tc>
        <w:tc>
          <w:tcPr>
            <w:tcW w:w="3693" w:type="dxa"/>
            <w:tcBorders/>
          </w:tcPr>
          <w:p>
            <w:pPr>
              <w:pStyle w:val="Normal"/>
              <w:rPr>
                <w:sz w:val="22"/>
              </w:rPr>
            </w:pPr>
            <w:r>
              <w:rPr>
                <w:sz w:val="22"/>
              </w:rPr>
              <w:t>October 1, 2001 – September 30, 2002</w:t>
            </w:r>
          </w:p>
        </w:tc>
      </w:tr>
      <w:tr>
        <w:trPr/>
        <w:tc>
          <w:tcPr>
            <w:tcW w:w="2386" w:type="dxa"/>
            <w:tcBorders>
              <w:bottom w:val="single" w:sz="12" w:space="0" w:color="008000"/>
            </w:tcBorders>
          </w:tcPr>
          <w:p>
            <w:pPr>
              <w:pStyle w:val="Normal"/>
              <w:snapToGrid w:val="false"/>
              <w:rPr>
                <w:sz w:val="22"/>
              </w:rPr>
            </w:pPr>
            <w:r>
              <w:rPr>
                <w:sz w:val="22"/>
              </w:rPr>
            </w:r>
          </w:p>
        </w:tc>
        <w:tc>
          <w:tcPr>
            <w:tcW w:w="2777" w:type="dxa"/>
            <w:tcBorders>
              <w:bottom w:val="single" w:sz="12" w:space="0" w:color="008000"/>
            </w:tcBorders>
          </w:tcPr>
          <w:p>
            <w:pPr>
              <w:pStyle w:val="Normal"/>
              <w:snapToGrid w:val="false"/>
              <w:rPr>
                <w:sz w:val="22"/>
              </w:rPr>
            </w:pPr>
            <w:r>
              <w:rPr>
                <w:sz w:val="22"/>
              </w:rPr>
            </w:r>
          </w:p>
        </w:tc>
        <w:tc>
          <w:tcPr>
            <w:tcW w:w="3693" w:type="dxa"/>
            <w:tcBorders>
              <w:bottom w:val="single" w:sz="12" w:space="0" w:color="008000"/>
            </w:tcBorders>
          </w:tcPr>
          <w:p>
            <w:pPr>
              <w:pStyle w:val="Normal"/>
              <w:snapToGrid w:val="false"/>
              <w:rPr>
                <w:sz w:val="22"/>
              </w:rPr>
            </w:pPr>
            <w:r>
              <w:rPr>
                <w:sz w:val="22"/>
              </w:rPr>
            </w:r>
          </w:p>
        </w:tc>
      </w:tr>
    </w:tbl>
    <w:p>
      <w:pPr>
        <w:pStyle w:val="Normal"/>
        <w:rPr>
          <w:sz w:val="22"/>
        </w:rPr>
      </w:pPr>
      <w:r>
        <w:rPr>
          <w:sz w:val="22"/>
        </w:rPr>
      </w:r>
    </w:p>
    <w:p>
      <w:pPr>
        <w:pStyle w:val="Normal"/>
        <w:rPr/>
      </w:pPr>
      <w:r>
        <w:rPr>
          <w:sz w:val="22"/>
        </w:rPr>
        <w:t xml:space="preserve">The market pricing mechanism specifically </w:t>
      </w:r>
      <w:r>
        <w:rPr>
          <w:i/>
          <w:sz w:val="22"/>
        </w:rPr>
        <w:t>excludes</w:t>
      </w:r>
      <w:r>
        <w:rPr>
          <w:sz w:val="22"/>
        </w:rPr>
        <w:t xml:space="preserve"> any local loops that may be provisioned in order to connect into the Enron POP.</w:t>
      </w:r>
    </w:p>
    <w:p>
      <w:pPr>
        <w:pStyle w:val="Normal"/>
        <w:rPr>
          <w:sz w:val="22"/>
        </w:rPr>
      </w:pPr>
      <w:r>
        <w:rPr>
          <w:sz w:val="22"/>
        </w:rPr>
      </w:r>
      <w:r>
        <w:br w:type="page"/>
      </w:r>
    </w:p>
    <w:p>
      <w:pPr>
        <w:pStyle w:val="Heading2"/>
        <w:ind w:hanging="0" w:start="0"/>
        <w:rPr/>
      </w:pPr>
      <w:r>
        <w:rPr/>
        <w:t>Example Calculation:</w:t>
      </w:r>
    </w:p>
    <w:p>
      <w:pPr>
        <w:pStyle w:val="Normal"/>
        <w:rPr>
          <w:sz w:val="22"/>
        </w:rPr>
      </w:pPr>
      <w:r>
        <w:rPr>
          <w:sz w:val="22"/>
        </w:rPr>
        <w:t>Objective:</w:t>
        <w:tab/>
        <w:tab/>
        <w:t>Calculate Cincinnati – New York DS3 pricing for January, 2002</w:t>
      </w:r>
    </w:p>
    <w:p>
      <w:pPr>
        <w:pStyle w:val="Normal"/>
        <w:rPr>
          <w:sz w:val="22"/>
        </w:rPr>
      </w:pPr>
      <w:r>
        <w:rPr>
          <w:sz w:val="22"/>
        </w:rPr>
        <w:t>Calculation Date:</w:t>
        <w:tab/>
        <w:t>September 30, 2001</w:t>
      </w:r>
    </w:p>
    <w:p>
      <w:pPr>
        <w:pStyle w:val="Normal"/>
        <w:rPr>
          <w:sz w:val="22"/>
        </w:rPr>
      </w:pPr>
      <w:r>
        <w:rPr>
          <w:sz w:val="22"/>
        </w:rPr>
        <w:t>Assume:</w:t>
        <w:tab/>
        <w:t>December price for Cincinnati – New York = $2,000 (previously calculated)</w:t>
      </w:r>
    </w:p>
    <w:p>
      <w:pPr>
        <w:pStyle w:val="Normal"/>
        <w:rPr>
          <w:sz w:val="22"/>
        </w:rPr>
      </w:pPr>
      <w:r>
        <w:rPr>
          <w:sz w:val="22"/>
        </w:rPr>
        <w:tab/>
        <w:tab/>
        <w:t>Dow Jones January midpoint average = 0.0055</w:t>
      </w:r>
    </w:p>
    <w:p>
      <w:pPr>
        <w:pStyle w:val="Normal"/>
        <w:rPr>
          <w:sz w:val="22"/>
        </w:rPr>
      </w:pPr>
      <w:r>
        <w:rPr>
          <w:sz w:val="22"/>
        </w:rPr>
        <w:tab/>
        <w:tab/>
        <w:t>Dow Jones December midpoint average = 0.0060</w:t>
      </w:r>
    </w:p>
    <w:p>
      <w:pPr>
        <w:pStyle w:val="Normal"/>
        <w:rPr>
          <w:sz w:val="22"/>
        </w:rPr>
      </w:pPr>
      <w:r>
        <w:rPr>
          <w:sz w:val="22"/>
        </w:rPr>
        <w:t>Formula:</w:t>
        <w:tab/>
        <w:t>Percentage change = (0.0055 – 0.0060)/0.0060 = -0.0005/0.0060 = -8.33%</w:t>
      </w:r>
    </w:p>
    <w:p>
      <w:pPr>
        <w:pStyle w:val="Normal"/>
        <w:rPr>
          <w:sz w:val="22"/>
        </w:rPr>
      </w:pPr>
      <w:r>
        <w:rPr>
          <w:sz w:val="22"/>
        </w:rPr>
        <w:tab/>
        <w:tab/>
        <w:t>Price for January = $2,000 * (1 – 0.0833) = $1,833.34</w:t>
      </w:r>
    </w:p>
    <w:p>
      <w:pPr>
        <w:pStyle w:val="Normal"/>
        <w:rPr>
          <w:sz w:val="22"/>
        </w:rPr>
      </w:pPr>
      <w:r>
        <w:rPr>
          <w:sz w:val="22"/>
        </w:rPr>
      </w:r>
    </w:p>
    <w:p>
      <w:pPr>
        <w:pStyle w:val="Heading2"/>
        <w:ind w:hanging="0" w:start="0"/>
        <w:rPr/>
      </w:pPr>
      <w:r>
        <w:rPr/>
        <w:t>Disclaimer:</w:t>
      </w:r>
    </w:p>
    <w:p>
      <w:pPr>
        <w:pStyle w:val="Normal"/>
        <w:rPr>
          <w:sz w:val="22"/>
        </w:rPr>
      </w:pPr>
      <w:r>
        <w:rPr>
          <w:sz w:val="22"/>
        </w:rPr>
        <w:t>This term sheet is for discussion purposes only, to facilitate the negotiation, preparation, and execution of a definitive agreement.  It is not intended to create a binding or enforceable contract or to be complete and all-inclusive of the terms of the related transaction.  This is not an offer or a commitment of Enron Broadband Services, Inc. or any affiliate thereof.  The transaction described herein is subject to further review and approval of Enron Broadband Services, Inc. and execution of a definitive agreement containing all appropriate provisions, including, but not limited to, those relating to credit and limitation of damages and remedies.  This term sheet is confidential and should not be shown to or discussed with any third party.</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Frutiger 45 Light">
    <w:charset w:val="00" w:characterSet="windows-1252"/>
    <w:family w:val="auto"/>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pPr>
    <w:r>
      <w:rPr>
        <w:lang w:eastAsia="en-US"/>
      </w:rPr>
      <w:t>Confidential</w:t>
      <w:tab/>
      <w:t xml:space="preserve">Page </w:t>
    </w:r>
    <w:r>
      <w:rPr>
        <w:lang w:eastAsia="en-US"/>
      </w:rPr>
      <w:fldChar w:fldCharType="begin"/>
    </w:r>
    <w:r>
      <w:rPr>
        <w:lang w:eastAsia="en-US"/>
      </w:rPr>
      <w:instrText xml:space="preserve"> PAGE </w:instrText>
    </w:r>
    <w:r>
      <w:rPr>
        <w:lang w:eastAsia="en-US"/>
      </w:rPr>
      <w:fldChar w:fldCharType="separate"/>
    </w:r>
    <w:r>
      <w:rPr>
        <w:lang w:eastAsia="en-US"/>
      </w:rPr>
      <w:t>2</w:t>
    </w:r>
    <w:r>
      <w:rPr>
        <w:lang w:eastAsia="en-US"/>
      </w:rPr>
      <w:fldChar w:fldCharType="end"/>
    </w:r>
    <w:r>
      <w:rPr>
        <w:lang w:eastAsia="en-US"/>
      </w:rPr>
      <w:tab/>
    </w:r>
    <w:r>
      <w:rPr>
        <w:lang w:eastAsia="en-US"/>
      </w:rPr>
      <w:fldChar w:fldCharType="begin"/>
    </w:r>
    <w:r>
      <w:rPr>
        <w:lang w:eastAsia="en-US"/>
      </w:rPr>
      <w:instrText xml:space="preserve"> DATE \@"M/d/yyyy" </w:instrText>
    </w:r>
    <w:r>
      <w:rPr>
        <w:lang w:eastAsia="en-US"/>
      </w:rPr>
      <w:fldChar w:fldCharType="separate"/>
    </w:r>
    <w:r>
      <w:rPr>
        <w:lang w:eastAsia="en-US"/>
      </w:rPr>
      <w:t>9/28/2025</w:t>
    </w:r>
    <w:r>
      <w:rPr>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ms Rmn" w:hAnsi="Tms Rmn" w:cs="Tms Rmn"/>
        <w:lang w:eastAsia="en-US"/>
      </w:rPr>
    </w:pPr>
    <w:bookmarkStart w:id="0" w:name="_1014734640"/>
    <w:bookmarkStart w:id="1" w:name="_1001839490"/>
    <w:bookmarkEnd w:id="0"/>
    <w:bookmarkEnd w:id="1"/>
    <w:r>
      <w:rPr>
        <w:rFonts w:cs="Tms Rmn" w:ascii="Tms Rmn" w:hAnsi="Tms Rmn"/>
        <w:lang w:eastAsia="en-US"/>
      </w:rPr>
      <w:object w:dxaOrig="1066" w:dyaOrig="105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53.3pt;height:52.55pt" filled="f" o:ole="">
          <v:imagedata r:id="rId2" o:title=""/>
        </v:shape>
        <o:OLEObject Type="Embed" ProgID="" ShapeID="ole_rId1" DrawAspect="Content" ObjectID="_1771088158" r:id="rId1"/>
      </w:object>
    </w:r>
  </w:p>
  <w:p>
    <w:pPr>
      <w:pStyle w:val="Header"/>
      <w:pBdr>
        <w:bottom w:val="single" w:sz="4" w:space="1" w:color="000000"/>
      </w:pBdr>
      <w:rPr>
        <w:rFonts w:ascii="Arial" w:hAnsi="Arial" w:cs="Arial"/>
        <w:b/>
        <w:i/>
        <w:i/>
        <w:sz w:val="14"/>
        <w:lang w:eastAsia="en-US"/>
      </w:rPr>
    </w:pPr>
    <w:r>
      <w:rPr>
        <w:rFonts w:cs="Arial" w:ascii="Arial" w:hAnsi="Arial"/>
        <w:b/>
        <w:i/>
        <w:sz w:val="14"/>
        <w:lang w:eastAsia="en-US"/>
      </w:rPr>
      <w:t>Enron Broadband Services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Frutiger 45 Light" w:hAnsi="Frutiger 45 Light" w:cs="Frutiger 45 Light"/>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2001-06-18T12:44:00Z</dcterms:created>
  <dc:creator>todd_harris</dc:creator>
  <dc:description/>
  <dc:language>en-CA</dc:language>
  <cp:lastModifiedBy>todd_harris</cp:lastModifiedBy>
  <cp:lastPrinted>2001-06-18T13:34:00Z</cp:lastPrinted>
  <dcterms:modified xsi:type="dcterms:W3CDTF">2001-06-18T16:06:00Z</dcterms:modified>
  <cp:revision>13</cp:revision>
  <dc:subject/>
  <dc:title>Market Pricing Mechanism</dc:title>
</cp:coreProperties>
</file>