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Paul DeVries, Rob Milnthorp, Rick Shapiro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Rob Hemstock</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Ontario Electricity Market Opening Strategy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The next phase of our Market Opening Campaign will commence November 1, 2001 and will last four months (November, December, January, and February) and will constitute Enron Canada’s final push for Ontario Electricity Market Opening.</w:t>
      </w:r>
    </w:p>
    <w:p>
      <w:pPr>
        <w:pStyle w:val="Body"/>
        <w:rPr/>
      </w:pPr>
      <w:r>
        <w:rPr/>
      </w:r>
    </w:p>
    <w:p>
      <w:pPr>
        <w:pStyle w:val="Body"/>
        <w:rPr/>
      </w:pPr>
      <w:r>
        <w:rPr/>
        <w:t>The fundamental elements of the Market Opening Strategy will be:</w:t>
      </w:r>
    </w:p>
    <w:p>
      <w:pPr>
        <w:pStyle w:val="Body"/>
        <w:rPr/>
      </w:pPr>
      <w:r>
        <w:rPr/>
      </w:r>
    </w:p>
    <w:p>
      <w:pPr>
        <w:pStyle w:val="Body"/>
        <w:numPr>
          <w:ilvl w:val="0"/>
          <w:numId w:val="3"/>
        </w:numPr>
        <w:rPr/>
      </w:pPr>
      <w:r>
        <w:rPr/>
        <w:t>Participate in the Energy Coalition (“Coalition”)</w:t>
      </w:r>
    </w:p>
    <w:p>
      <w:pPr>
        <w:pStyle w:val="Body"/>
        <w:rPr/>
      </w:pPr>
      <w:r>
        <w:rPr/>
      </w:r>
    </w:p>
    <w:p>
      <w:pPr>
        <w:pStyle w:val="Body"/>
        <w:rPr/>
      </w:pPr>
      <w:r>
        <w:rPr/>
        <w:t xml:space="preserve">Michael O’Connor of GPC will co-ordinate Enron Canada’s input into this initiative by attending all meetings of the Coalition and providing GPC’s expertise and input on the work of the Coaltion.  The Coaltion is currently being lead by Toronto Hydro and presently includes: Mirant, Direct Energy, Enbridge, Bruce Power, Toronto Hydro, Enron and TransAlta.  One of GPC’s immediate tasks will be to ensure the Coalition pursues further initiatives to broaden the scope of the membership. </w:t>
      </w:r>
    </w:p>
    <w:p>
      <w:pPr>
        <w:pStyle w:val="Body"/>
        <w:rPr/>
      </w:pPr>
      <w:r>
        <w:rPr/>
      </w:r>
    </w:p>
    <w:p>
      <w:pPr>
        <w:pStyle w:val="Body"/>
        <w:rPr/>
      </w:pPr>
      <w:r>
        <w:rPr/>
        <w:t xml:space="preserve">GPC will seek to integrate as part of its input to the Coalition the following components of the Ontario Public Affairs &amp; Corporate Communications Strategy initially developed by GPC for Enron Canada: LDC Readiness, Consumer Backlash, Economic downturn, and Global Events.  GPC will attend all meetings and coordinate Enron’s input and contribution to the Coalition effort which will include sharing materials produced by Enron with the CoaIition, providing input to the Coalition on its objective and strategies, developing Coalition communication materials and strategies, and ensuring the Coalition makes prudent spending decisions, and coordinating Enron’s support (including arranging speaking engagements for Enron Senior Staff such as DeVries, Milnthorp) to the Speakers Bureau being cooridinated by Dick Perdue which is apparently funded separately by Centrica.  </w:t>
      </w:r>
    </w:p>
    <w:p>
      <w:pPr>
        <w:pStyle w:val="Body"/>
        <w:rPr/>
      </w:pPr>
      <w:r>
        <w:rPr/>
      </w:r>
    </w:p>
    <w:p>
      <w:pPr>
        <w:pStyle w:val="Body"/>
        <w:rPr/>
      </w:pPr>
      <w:r>
        <w:rPr/>
        <w:t xml:space="preserve">Cost: </w:t>
        <w:tab/>
        <w:t xml:space="preserve">a) Coalition Contribution </w:t>
        <w:tab/>
        <w:t>$Cdn 50,000</w:t>
      </w:r>
    </w:p>
    <w:p>
      <w:pPr>
        <w:pStyle w:val="Body"/>
        <w:rPr/>
      </w:pPr>
      <w:r>
        <w:rPr/>
        <w:tab/>
        <w:t>b) GPC Budget</w:t>
        <w:tab/>
        <w:tab/>
        <w:tab/>
        <w:t xml:space="preserve">$Cdn 60,000 </w:t>
      </w:r>
    </w:p>
    <w:p>
      <w:pPr>
        <w:pStyle w:val="Body"/>
        <w:rPr/>
      </w:pPr>
      <w:r>
        <w:rPr/>
      </w:r>
    </w:p>
    <w:p>
      <w:pPr>
        <w:pStyle w:val="Body"/>
        <w:numPr>
          <w:ilvl w:val="0"/>
          <w:numId w:val="3"/>
        </w:numPr>
        <w:rPr/>
      </w:pPr>
      <w:r>
        <w:rPr/>
        <w:t>Government Monitoring and Contact</w:t>
      </w:r>
    </w:p>
    <w:p>
      <w:pPr>
        <w:pStyle w:val="Body"/>
        <w:rPr/>
      </w:pPr>
      <w:r>
        <w:rPr/>
      </w:r>
    </w:p>
    <w:p>
      <w:pPr>
        <w:pStyle w:val="Body"/>
        <w:rPr/>
      </w:pPr>
      <w:r>
        <w:rPr/>
        <w:t>Sasha Jacob of Equicom Group will lead this initiative and it will primarily involve continuing with the key contact program focused primarily on key decision makers within the Government and monitoring developments within the Government and PC Party, including the leadership campaign.   Specific tasks/deliverables will include:</w:t>
      </w:r>
    </w:p>
    <w:p>
      <w:pPr>
        <w:pStyle w:val="Body"/>
        <w:rPr/>
      </w:pPr>
      <w:r>
        <w:rPr/>
      </w:r>
    </w:p>
    <w:p>
      <w:pPr>
        <w:pStyle w:val="Body"/>
        <w:numPr>
          <w:ilvl w:val="0"/>
          <w:numId w:val="2"/>
        </w:numPr>
        <w:rPr/>
      </w:pPr>
      <w:r>
        <w:rPr/>
        <w:t>Securing publicly stated support for market opening by the PC leadership candidates;</w:t>
      </w:r>
    </w:p>
    <w:p>
      <w:pPr>
        <w:pStyle w:val="Body"/>
        <w:numPr>
          <w:ilvl w:val="0"/>
          <w:numId w:val="2"/>
        </w:numPr>
        <w:rPr/>
      </w:pPr>
      <w:r>
        <w:rPr/>
        <w:t xml:space="preserve">Developing an updated market opening fact sheet/leave behind </w:t>
      </w:r>
    </w:p>
    <w:p>
      <w:pPr>
        <w:pStyle w:val="Body"/>
        <w:numPr>
          <w:ilvl w:val="0"/>
          <w:numId w:val="2"/>
        </w:numPr>
        <w:rPr/>
      </w:pPr>
      <w:r>
        <w:rPr/>
        <w:t>Arranging meetings with key Ministers for Enron</w:t>
      </w:r>
    </w:p>
    <w:p>
      <w:pPr>
        <w:pStyle w:val="Body"/>
        <w:numPr>
          <w:ilvl w:val="0"/>
          <w:numId w:val="2"/>
        </w:numPr>
        <w:rPr/>
      </w:pPr>
      <w:r>
        <w:rPr/>
        <w:t>Monitoring Queen’s Park and Media on this issue</w:t>
      </w:r>
    </w:p>
    <w:p>
      <w:pPr>
        <w:pStyle w:val="Body"/>
        <w:numPr>
          <w:ilvl w:val="0"/>
          <w:numId w:val="2"/>
        </w:numPr>
        <w:rPr/>
      </w:pPr>
      <w:r>
        <w:rPr/>
        <w:t>Attending political functions with Enron management</w:t>
      </w:r>
    </w:p>
    <w:p>
      <w:pPr>
        <w:pStyle w:val="Body"/>
        <w:numPr>
          <w:ilvl w:val="0"/>
          <w:numId w:val="2"/>
        </w:numPr>
        <w:rPr/>
      </w:pPr>
      <w:r>
        <w:rPr/>
        <w:t xml:space="preserve">Advising on a political contribution strategy </w:t>
      </w:r>
    </w:p>
    <w:p>
      <w:pPr>
        <w:pStyle w:val="Body"/>
        <w:numPr>
          <w:ilvl w:val="0"/>
          <w:numId w:val="2"/>
        </w:numPr>
        <w:rPr/>
      </w:pPr>
      <w:r>
        <w:rPr/>
        <w:t>Ensuring electricity market opening is addressed and supported by Government in its upcoming economic statement</w:t>
      </w:r>
    </w:p>
    <w:p>
      <w:pPr>
        <w:pStyle w:val="Body"/>
        <w:numPr>
          <w:ilvl w:val="0"/>
          <w:numId w:val="2"/>
        </w:numPr>
        <w:rPr/>
      </w:pPr>
      <w:r>
        <w:rPr/>
        <w:t>Updating Key Contact Program and meeting with key staff and members in: Ministry of Energy Science &amp; Technology, the Premier’s Office, Ministry of Finance, Ministry of Environment,  Priorties &amp; Planning Committee, PC Caucus, and PC Party</w:t>
      </w:r>
    </w:p>
    <w:p>
      <w:pPr>
        <w:pStyle w:val="Body"/>
        <w:rPr>
          <w:rFonts w:eastAsia="Arial"/>
        </w:rPr>
      </w:pPr>
      <w:r>
        <w:rPr>
          <w:rFonts w:eastAsia="Arial"/>
        </w:rPr>
        <w:t xml:space="preserve"> </w:t>
      </w:r>
    </w:p>
    <w:p>
      <w:pPr>
        <w:pStyle w:val="Body"/>
        <w:rPr/>
      </w:pPr>
      <w:r>
        <w:rPr/>
        <w:t>Equicom will  include advice to Enron on a political contributions strategy and to the extent political contributions are necessary with the term of this strategy that will be done under a separate budget</w:t>
      </w:r>
    </w:p>
    <w:p>
      <w:pPr>
        <w:pStyle w:val="Body"/>
        <w:rPr/>
      </w:pPr>
      <w:r>
        <w:rPr/>
      </w:r>
    </w:p>
    <w:p>
      <w:pPr>
        <w:pStyle w:val="Body"/>
        <w:rPr/>
      </w:pPr>
      <w:r>
        <w:rPr/>
        <w:t>GPC will simply monitor the Liberal party and the NDP.</w:t>
      </w:r>
    </w:p>
    <w:p>
      <w:pPr>
        <w:pStyle w:val="Body"/>
        <w:rPr/>
      </w:pPr>
      <w:r>
        <w:rPr/>
      </w:r>
    </w:p>
    <w:p>
      <w:pPr>
        <w:pStyle w:val="Body"/>
        <w:rPr/>
      </w:pPr>
      <w:r>
        <w:rPr/>
        <w:t>Cost:</w:t>
        <w:tab/>
        <w:t>Equicom</w:t>
        <w:tab/>
        <w:tab/>
        <w:tab/>
        <w:t>$Cdn 80,000 (Note: a retainer for $15,000/mth has previously been signed)</w:t>
      </w:r>
    </w:p>
    <w:p>
      <w:pPr>
        <w:pStyle w:val="Body"/>
        <w:rPr/>
      </w:pPr>
      <w:r>
        <w:rPr/>
      </w:r>
    </w:p>
    <w:p>
      <w:pPr>
        <w:pStyle w:val="Body"/>
        <w:numPr>
          <w:ilvl w:val="0"/>
          <w:numId w:val="3"/>
        </w:numPr>
        <w:rPr/>
      </w:pPr>
      <w:r>
        <w:rPr/>
        <w:t>Trade Association Campaign</w:t>
      </w:r>
    </w:p>
    <w:p>
      <w:pPr>
        <w:pStyle w:val="Body"/>
        <w:rPr/>
      </w:pPr>
      <w:r>
        <w:rPr/>
      </w:r>
    </w:p>
    <w:p>
      <w:pPr>
        <w:pStyle w:val="Body"/>
        <w:rPr/>
      </w:pPr>
      <w:r>
        <w:rPr/>
        <w:t>Chris Benedetti of GPC will lead this initiative and will be supported by Michael O’Connor and Alexandra Lawson.  The task will include:</w:t>
      </w:r>
    </w:p>
    <w:p>
      <w:pPr>
        <w:pStyle w:val="Body"/>
        <w:rPr/>
      </w:pPr>
      <w:r>
        <w:rPr/>
      </w:r>
    </w:p>
    <w:p>
      <w:pPr>
        <w:pStyle w:val="Body"/>
        <w:numPr>
          <w:ilvl w:val="1"/>
          <w:numId w:val="3"/>
        </w:numPr>
        <w:rPr/>
      </w:pPr>
      <w:r>
        <w:rPr/>
        <w:t>Identifying key trade associations</w:t>
      </w:r>
    </w:p>
    <w:p>
      <w:pPr>
        <w:pStyle w:val="Body"/>
        <w:numPr>
          <w:ilvl w:val="1"/>
          <w:numId w:val="3"/>
        </w:numPr>
        <w:rPr/>
      </w:pPr>
      <w:r>
        <w:rPr/>
        <w:t>Develop contact strategy and set up initial meetings with GPC only</w:t>
      </w:r>
    </w:p>
    <w:p>
      <w:pPr>
        <w:pStyle w:val="Body"/>
        <w:numPr>
          <w:ilvl w:val="1"/>
          <w:numId w:val="3"/>
        </w:numPr>
        <w:rPr/>
      </w:pPr>
      <w:r>
        <w:rPr/>
        <w:t>Prepare questionnaire to guide GPC through initial meeting</w:t>
      </w:r>
    </w:p>
    <w:p>
      <w:pPr>
        <w:pStyle w:val="Body"/>
        <w:numPr>
          <w:ilvl w:val="1"/>
          <w:numId w:val="3"/>
        </w:numPr>
        <w:rPr/>
      </w:pPr>
      <w:r>
        <w:rPr/>
        <w:t>Attend initial meeting and with two deliverables/objectives: i) assess association support of Ontario electricity market opening, ii) position association for Enron commercial follow-up meeting so Enron can re-produce the CFIG deal structure</w:t>
      </w:r>
    </w:p>
    <w:p>
      <w:pPr>
        <w:pStyle w:val="Body"/>
        <w:numPr>
          <w:ilvl w:val="1"/>
          <w:numId w:val="3"/>
        </w:numPr>
        <w:rPr/>
      </w:pPr>
      <w:r>
        <w:rPr/>
        <w:t>Summarize information obtained at initial meeting and immediately report to Enron for commercial follow up</w:t>
      </w:r>
    </w:p>
    <w:p>
      <w:pPr>
        <w:pStyle w:val="Body"/>
        <w:numPr>
          <w:ilvl w:val="1"/>
          <w:numId w:val="3"/>
        </w:numPr>
        <w:rPr/>
      </w:pPr>
      <w:r>
        <w:rPr/>
        <w:t>Prepare form of letter from associations supportive of market opening  to Minister of Energy Science and Technology, Leadership Candidates, and other key Government members/officials</w:t>
      </w:r>
    </w:p>
    <w:p>
      <w:pPr>
        <w:pStyle w:val="Body"/>
        <w:numPr>
          <w:ilvl w:val="1"/>
          <w:numId w:val="3"/>
        </w:numPr>
        <w:rPr/>
      </w:pPr>
      <w:r>
        <w:rPr/>
        <w:t>Follow up with association to ensure letter goes out</w:t>
      </w:r>
    </w:p>
    <w:p>
      <w:pPr>
        <w:pStyle w:val="Body"/>
        <w:rPr/>
      </w:pPr>
      <w:r>
        <w:rPr/>
      </w:r>
    </w:p>
    <w:p>
      <w:pPr>
        <w:pStyle w:val="Body"/>
        <w:rPr/>
      </w:pPr>
      <w:r>
        <w:rPr/>
        <w:t xml:space="preserve">Cost: </w:t>
        <w:tab/>
        <w:t>GPC</w:t>
        <w:tab/>
        <w:tab/>
        <w:tab/>
        <w:tab/>
        <w:t xml:space="preserve">$Cdn 25,000 </w:t>
      </w:r>
    </w:p>
    <w:p>
      <w:pPr>
        <w:pStyle w:val="Body"/>
        <w:rPr/>
      </w:pPr>
      <w:r>
        <w:rPr/>
      </w:r>
    </w:p>
    <w:p>
      <w:pPr>
        <w:pStyle w:val="Body"/>
        <w:numPr>
          <w:ilvl w:val="0"/>
          <w:numId w:val="3"/>
        </w:numPr>
        <w:rPr/>
      </w:pPr>
      <w:r>
        <w:rPr/>
        <w:t>Media Monitoring</w:t>
      </w:r>
    </w:p>
    <w:p>
      <w:pPr>
        <w:pStyle w:val="Body"/>
        <w:rPr/>
      </w:pPr>
      <w:r>
        <w:rPr/>
      </w:r>
    </w:p>
    <w:p>
      <w:pPr>
        <w:pStyle w:val="Body"/>
        <w:rPr/>
      </w:pPr>
      <w:r>
        <w:rPr/>
        <w:t xml:space="preserve">Enron will provide its own media monitoring daily on electricity market opening and related issues.   GPC will encourage Coalition to undertake media monitoring and develop a strategy to respond to key media reports.  Rob Milnthorp will provide Rob Hemstock with IMO media briefings and I will circulate noteworthy ones to GPC and Equicom. </w:t>
      </w:r>
    </w:p>
    <w:p>
      <w:pPr>
        <w:pStyle w:val="Body"/>
        <w:rPr/>
      </w:pPr>
      <w:r>
        <w:rPr/>
      </w:r>
    </w:p>
    <w:p>
      <w:pPr>
        <w:pStyle w:val="Body"/>
        <w:rPr/>
      </w:pPr>
      <w:r>
        <w:rPr/>
        <w:t xml:space="preserve">Cost: </w:t>
        <w:tab/>
        <w:t>None</w:t>
      </w:r>
    </w:p>
    <w:p>
      <w:pPr>
        <w:pStyle w:val="Body"/>
        <w:rPr/>
      </w:pPr>
      <w:r>
        <w:rPr/>
      </w:r>
    </w:p>
    <w:p>
      <w:pPr>
        <w:pStyle w:val="Body"/>
        <w:numPr>
          <w:ilvl w:val="0"/>
          <w:numId w:val="3"/>
        </w:numPr>
        <w:rPr/>
      </w:pPr>
      <w:r>
        <w:rPr/>
        <w:t>Weekly Reporting</w:t>
      </w:r>
    </w:p>
    <w:p>
      <w:pPr>
        <w:pStyle w:val="Body"/>
        <w:rPr/>
      </w:pPr>
      <w:r>
        <w:rPr/>
      </w:r>
    </w:p>
    <w:p>
      <w:pPr>
        <w:pStyle w:val="Body"/>
        <w:rPr/>
      </w:pPr>
      <w:r>
        <w:rPr/>
        <w:t xml:space="preserve">GPC and Equicom will prepare a brief email report updating key developments, meetings held, tasks completed and observations every Monday to Rob Hemstock and should be no longer that 1 page in length.  Rob will circulate these reports to Enron’s commercial guys in Toronto, Rob Milnthorp, and will provide the GPC report to Equicom and vice versa.  </w:t>
      </w:r>
    </w:p>
    <w:p>
      <w:pPr>
        <w:pStyle w:val="Body"/>
        <w:rPr/>
      </w:pPr>
      <w:r>
        <w:rPr/>
      </w:r>
    </w:p>
    <w:p>
      <w:pPr>
        <w:pStyle w:val="Body"/>
        <w:rPr/>
      </w:pPr>
      <w:r>
        <w:rPr/>
        <w:t xml:space="preserve">Cost: </w:t>
        <w:tab/>
        <w:t>None</w:t>
      </w:r>
    </w:p>
    <w:p>
      <w:pPr>
        <w:pStyle w:val="Body"/>
        <w:rPr/>
      </w:pPr>
      <w:r>
        <w:rPr/>
      </w:r>
    </w:p>
    <w:p>
      <w:pPr>
        <w:pStyle w:val="Body"/>
        <w:rPr/>
      </w:pPr>
      <w:r>
        <w:rPr/>
      </w:r>
    </w:p>
    <w:p>
      <w:pPr>
        <w:pStyle w:val="Body"/>
        <w:numPr>
          <w:ilvl w:val="0"/>
          <w:numId w:val="3"/>
        </w:numPr>
        <w:rPr/>
      </w:pPr>
      <w:r>
        <w:rPr/>
        <w:t>Total Budget</w:t>
        <w:tab/>
        <w:tab/>
        <w:tab/>
        <w:t>$Cdn 215,000 ($US 135,000)</w:t>
      </w:r>
    </w:p>
    <w:p>
      <w:pPr>
        <w:pStyle w:val="Body"/>
        <w:rPr/>
      </w:pPr>
      <w:r>
        <w:rPr/>
        <w:tab/>
        <w:tab/>
      </w:r>
    </w:p>
    <w:p>
      <w:pPr>
        <w:pStyle w:val="Body"/>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r>
      <w:rPr>
        <w:sz w:val="12"/>
      </w:rPr>
      <w:fldChar w:fldCharType="begin"/>
    </w:r>
    <w:r>
      <w:rPr>
        <w:sz w:val="12"/>
      </w:rPr>
      <w:instrText xml:space="preserve"> FILENAME </w:instrText>
    </w:r>
    <w:r>
      <w:rPr>
        <w:sz w:val="12"/>
      </w:rPr>
      <w:fldChar w:fldCharType="separate"/>
    </w:r>
    <w:r>
      <w:rPr>
        <w:sz w:val="12"/>
      </w:rPr>
      <w:t>Market_Opening_Strategy_110101.doc</w:t>
    </w:r>
    <w:r>
      <w:rPr>
        <w:sz w:val="12"/>
      </w:rPr>
      <w:fldChar w:fldCharType="end"/>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abstractNum w:abstractNumId="3">
    <w:lvl w:ilvl="0">
      <w:start w:val="1"/>
      <w:numFmt w:val="decimal"/>
      <w:lvlText w:val="%1)"/>
      <w:lvlJc w:val="start"/>
      <w:pPr>
        <w:tabs>
          <w:tab w:val="num" w:pos="432"/>
        </w:tabs>
        <w:ind w:start="432" w:hanging="360"/>
      </w:pPr>
      <w:rPr/>
    </w:lvl>
    <w:lvl w:ilvl="1">
      <w:start w:val="1"/>
      <w:numFmt w:val="bullet"/>
      <w:lvlText w:val=""/>
      <w:lvlJc w:val="start"/>
      <w:pPr>
        <w:tabs>
          <w:tab w:val="num" w:pos="1152"/>
        </w:tabs>
        <w:ind w:start="1152" w:hanging="360"/>
      </w:pPr>
      <w:rPr>
        <w:rFonts w:ascii="Symbol" w:hAnsi="Symbol" w:cs="Symbol" w:hint="default"/>
      </w:r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2001-11-01T22:36:00Z</dcterms:created>
  <dc:creator>rhemsto</dc:creator>
  <dc:description/>
  <dc:language>en-CA</dc:language>
  <cp:lastModifiedBy>rhemsto</cp:lastModifiedBy>
  <cp:lastPrinted>2001-11-01T14:50:00Z</cp:lastPrinted>
  <dcterms:modified xsi:type="dcterms:W3CDTF">2001-11-02T13:21:00Z</dcterms:modified>
  <cp:revision>4</cp:revision>
  <dc:subject/>
  <dc:title>Better, Faster, Simpler Memo </dc:title>
</cp:coreProperties>
</file>