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Moving Forward to Market Opening in 2001</w:t>
      </w:r>
    </w:p>
    <w:p>
      <w:pPr>
        <w:pStyle w:val="Normal"/>
        <w:jc w:val="both"/>
        <w:rPr>
          <w:rFonts w:ascii="Arial" w:hAnsi="Arial" w:cs="Arial"/>
        </w:rPr>
      </w:pPr>
      <w:r>
        <w:rPr>
          <w:rFonts w:cs="Arial" w:ascii="Arial" w:hAnsi="Arial"/>
        </w:rPr>
      </w:r>
    </w:p>
    <w:p>
      <w:pPr>
        <w:pStyle w:val="Normal"/>
        <w:ind w:start="288" w:end="0"/>
        <w:jc w:val="both"/>
        <w:rPr>
          <w:rFonts w:ascii="Arial" w:hAnsi="Arial" w:cs="Arial"/>
        </w:rPr>
      </w:pPr>
      <w:r>
        <w:rPr>
          <w:rFonts w:cs="Arial" w:ascii="Arial" w:hAnsi="Arial"/>
        </w:rPr>
      </w:r>
    </w:p>
    <w:p>
      <w:pPr>
        <w:pStyle w:val="Normal"/>
        <w:numPr>
          <w:ilvl w:val="0"/>
          <w:numId w:val="6"/>
        </w:numPr>
        <w:tabs>
          <w:tab w:val="clear" w:pos="720"/>
          <w:tab w:val="left" w:pos="360" w:leader="none"/>
        </w:tabs>
        <w:ind w:hanging="432" w:start="360" w:end="0"/>
        <w:jc w:val="both"/>
        <w:rPr>
          <w:rFonts w:ascii="Arial" w:hAnsi="Arial" w:cs="Arial"/>
        </w:rPr>
      </w:pPr>
      <w:r>
        <w:rPr>
          <w:rFonts w:cs="Arial" w:ascii="Arial" w:hAnsi="Arial"/>
        </w:rPr>
        <w:t>Ontario must move as quickly as possible to establish a market structure that will attract and sustain investment in the new resources that the Ontario electricity sector will need within the next several years.</w:t>
      </w:r>
    </w:p>
    <w:p>
      <w:pPr>
        <w:pStyle w:val="Normal"/>
        <w:tabs>
          <w:tab w:val="clear" w:pos="720"/>
          <w:tab w:val="left" w:pos="360" w:leader="none"/>
        </w:tabs>
        <w:ind w:start="360" w:end="0"/>
        <w:jc w:val="both"/>
        <w:rPr>
          <w:rFonts w:ascii="Arial" w:hAnsi="Arial" w:cs="Arial"/>
        </w:rPr>
      </w:pPr>
      <w:r>
        <w:rPr>
          <w:rFonts w:cs="Arial" w:ascii="Arial" w:hAnsi="Arial"/>
        </w:rPr>
      </w:r>
    </w:p>
    <w:p>
      <w:pPr>
        <w:pStyle w:val="Normal"/>
        <w:numPr>
          <w:ilvl w:val="0"/>
          <w:numId w:val="6"/>
        </w:numPr>
        <w:tabs>
          <w:tab w:val="clear" w:pos="720"/>
          <w:tab w:val="left" w:pos="360" w:leader="none"/>
        </w:tabs>
        <w:ind w:hanging="432" w:start="360" w:end="0"/>
        <w:jc w:val="both"/>
        <w:rPr>
          <w:rFonts w:ascii="Arial" w:hAnsi="Arial" w:cs="Arial"/>
        </w:rPr>
      </w:pPr>
      <w:r>
        <w:rPr>
          <w:rFonts w:cs="Arial" w:ascii="Arial" w:hAnsi="Arial"/>
        </w:rPr>
        <w:t>Policy makers should remember why the establishment of such a market structure is so important for Ontario and Ontario’s electricity consumers:</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Remember that, unless Ontario quickly establishes such a market structure, we will either have to live without the investment we need or we will be forced back to reliance on centrally mandated solutions to secure that investment.</w:t>
      </w:r>
    </w:p>
    <w:p>
      <w:pPr>
        <w:pStyle w:val="Normal"/>
        <w:ind w:start="288"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Remember the billions of dollars of stranded debt left to the citizens of Ontario by our former reliance on such centrally mandated solutions – the legacy of the old Ontario Hydro’s poor management, bad planning and enormous cost overruns.</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 xml:space="preserve">Remember that Ontario power prices have been frozen – indeed subsidized -  for 7 years.  Unless that subsidy is ended, the stranded debt will continue to grow unabated. </w:t>
      </w:r>
    </w:p>
    <w:p>
      <w:pPr>
        <w:pStyle w:val="Normal"/>
        <w:ind w:start="1800"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Remember that, in a restructured and competitive electricity market, the risk and cost of new investment in generation will be borne by investors and shareholders rather than by captive ratepayers.</w:t>
      </w:r>
    </w:p>
    <w:p>
      <w:pPr>
        <w:pStyle w:val="Normal"/>
        <w:ind w:start="1800"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 xml:space="preserve">Remember that competition gives customers choice and, by doing so, gives suppliers and retailers a strong incentive to improve customer service, lower prices and develop demand side (load management) solutions. </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 xml:space="preserve">Remember that an open market in Ontario will enhance security of supply by fostering investment in new generation within the province and by giving Ontario consumers more reliable access to the growing generation capacity in the connected markets. </w:t>
      </w:r>
    </w:p>
    <w:p>
      <w:pPr>
        <w:pStyle w:val="Normal"/>
        <w:jc w:val="both"/>
        <w:rPr>
          <w:rFonts w:ascii="Arial" w:hAnsi="Arial" w:cs="Arial"/>
        </w:rPr>
      </w:pPr>
      <w:r>
        <w:rPr>
          <w:rFonts w:cs="Arial" w:ascii="Arial" w:hAnsi="Arial"/>
        </w:rPr>
      </w:r>
    </w:p>
    <w:p>
      <w:pPr>
        <w:pStyle w:val="Normal"/>
        <w:numPr>
          <w:ilvl w:val="0"/>
          <w:numId w:val="6"/>
        </w:numPr>
        <w:tabs>
          <w:tab w:val="clear" w:pos="720"/>
          <w:tab w:val="left" w:pos="360" w:leader="none"/>
        </w:tabs>
        <w:ind w:hanging="432" w:start="360" w:end="0"/>
        <w:jc w:val="both"/>
        <w:rPr>
          <w:rFonts w:ascii="Arial" w:hAnsi="Arial" w:cs="Arial"/>
        </w:rPr>
      </w:pPr>
      <w:r>
        <w:rPr>
          <w:rFonts w:cs="Arial" w:ascii="Arial" w:hAnsi="Arial"/>
        </w:rPr>
        <w:t>Continued delay and uncertainty regarding market opening will yield the very consequences that Ontario policy makers want to avoid – no new investment, a deteriorating demand / supply balance, and prices that are higher than they would otherwise be.</w:t>
      </w:r>
    </w:p>
    <w:p>
      <w:pPr>
        <w:pStyle w:val="Normal"/>
        <w:tabs>
          <w:tab w:val="clear" w:pos="720"/>
          <w:tab w:val="left" w:pos="360" w:leader="none"/>
        </w:tabs>
        <w:ind w:start="360" w:end="0"/>
        <w:jc w:val="both"/>
        <w:rPr>
          <w:rFonts w:ascii="Arial" w:hAnsi="Arial" w:cs="Arial"/>
        </w:rPr>
      </w:pPr>
      <w:r>
        <w:rPr>
          <w:rFonts w:cs="Arial" w:ascii="Arial" w:hAnsi="Arial"/>
        </w:rPr>
      </w:r>
    </w:p>
    <w:p>
      <w:pPr>
        <w:pStyle w:val="Normal"/>
        <w:numPr>
          <w:ilvl w:val="0"/>
          <w:numId w:val="6"/>
        </w:numPr>
        <w:tabs>
          <w:tab w:val="clear" w:pos="720"/>
          <w:tab w:val="left" w:pos="360" w:leader="none"/>
        </w:tabs>
        <w:ind w:hanging="432" w:start="360" w:end="0"/>
        <w:jc w:val="both"/>
        <w:rPr>
          <w:rFonts w:ascii="Arial" w:hAnsi="Arial" w:cs="Arial"/>
        </w:rPr>
      </w:pPr>
      <w:r>
        <w:rPr>
          <w:rFonts w:cs="Arial" w:ascii="Arial" w:hAnsi="Arial"/>
        </w:rPr>
        <w:t>In order to avoid continuing uncertainty and delay, we encourage the Ontario Government to move quickly to reconfirm its intention to open the Ontario electricity market to competition later this year.</w:t>
        <w:tab/>
        <w:tab/>
        <w:tab/>
        <w:tab/>
        <w:tab/>
        <w:tab/>
        <w:tab/>
        <w:tab/>
        <w:tab/>
      </w:r>
    </w:p>
    <w:p>
      <w:pPr>
        <w:pStyle w:val="Normal"/>
        <w:tabs>
          <w:tab w:val="clear" w:pos="720"/>
          <w:tab w:val="left" w:pos="360" w:leader="none"/>
        </w:tabs>
        <w:ind w:start="360" w:end="0"/>
        <w:jc w:val="both"/>
        <w:rPr>
          <w:rFonts w:ascii="Arial" w:hAnsi="Arial" w:cs="Arial"/>
        </w:rPr>
      </w:pPr>
      <w:r>
        <w:rPr>
          <w:rFonts w:cs="Arial" w:ascii="Arial" w:hAnsi="Arial"/>
        </w:rPr>
      </w:r>
    </w:p>
    <w:p>
      <w:pPr>
        <w:pStyle w:val="Normal"/>
        <w:numPr>
          <w:ilvl w:val="0"/>
          <w:numId w:val="6"/>
        </w:numPr>
        <w:tabs>
          <w:tab w:val="clear" w:pos="720"/>
          <w:tab w:val="left" w:pos="360" w:leader="none"/>
        </w:tabs>
        <w:ind w:hanging="432" w:start="360" w:end="0"/>
        <w:jc w:val="both"/>
        <w:rPr>
          <w:rFonts w:ascii="Arial" w:hAnsi="Arial" w:cs="Arial"/>
        </w:rPr>
      </w:pPr>
      <w:r>
        <w:rPr>
          <w:rFonts w:cs="Arial" w:ascii="Arial" w:hAnsi="Arial"/>
        </w:rPr>
        <w:t>The key Ontario market institutions and participants will be ready for an opening of the wholesale and retail markets in the Fall of 2001:</w:t>
      </w:r>
    </w:p>
    <w:p>
      <w:pPr>
        <w:pStyle w:val="Normal"/>
        <w:jc w:val="both"/>
        <w:rPr>
          <w:rFonts w:ascii="Arial" w:hAnsi="Arial" w:cs="Arial"/>
        </w:rPr>
      </w:pPr>
      <w:r>
        <w:rPr>
          <w:rFonts w:cs="Arial" w:ascii="Arial" w:hAnsi="Arial"/>
        </w:rPr>
      </w:r>
    </w:p>
    <w:p>
      <w:pPr>
        <w:pStyle w:val="BodyTextIndent"/>
        <w:numPr>
          <w:ilvl w:val="0"/>
          <w:numId w:val="10"/>
        </w:numPr>
        <w:rPr/>
      </w:pPr>
      <w:r>
        <w:rPr/>
        <w:t xml:space="preserve">The Electricity Market Readiness Plan adopted by the OEB and IMO   targets the systems, processes and other requirements of the wholesale and retail markets to be ready for a market opening in October/November 2001. </w:t>
      </w:r>
    </w:p>
    <w:p>
      <w:pPr>
        <w:pStyle w:val="Normal"/>
        <w:ind w:start="1800"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The Electricity Market Readiness Plan was developed by the two senior regulatory bodies in the Province after extensive consultation with a broad range of market participants, including distributors, retailers, consumer representatives, and EBT developers. The Plan represents a realistic and achievable, indeed cautious, approach to market opening. </w:t>
        <w:tab/>
        <w:tab/>
        <w:tab/>
        <w:tab/>
        <w:tab/>
        <w:tab/>
        <w:tab/>
        <w:tab/>
        <w:tab/>
        <w:tab/>
      </w:r>
    </w:p>
    <w:p>
      <w:pPr>
        <w:pStyle w:val="Normal"/>
        <w:numPr>
          <w:ilvl w:val="0"/>
          <w:numId w:val="10"/>
        </w:numPr>
        <w:jc w:val="both"/>
        <w:rPr>
          <w:rFonts w:ascii="Arial" w:hAnsi="Arial" w:cs="Arial"/>
        </w:rPr>
      </w:pPr>
      <w:r>
        <w:rPr>
          <w:rFonts w:cs="Arial" w:ascii="Arial" w:hAnsi="Arial"/>
        </w:rPr>
        <w:t>Accordingly, the Government should move quickly to endorse the Electricity Market Readiness Plan as the way forward to market opening in the Fall of 2001. .</w:t>
      </w:r>
    </w:p>
    <w:p>
      <w:pPr>
        <w:pStyle w:val="Normal"/>
        <w:tabs>
          <w:tab w:val="clear" w:pos="720"/>
          <w:tab w:val="left" w:pos="5328"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1"/>
        </w:numPr>
        <w:tabs>
          <w:tab w:val="clear" w:pos="720"/>
          <w:tab w:val="left" w:pos="180" w:leader="none"/>
        </w:tabs>
        <w:ind w:hanging="432" w:start="180" w:end="0"/>
        <w:jc w:val="both"/>
        <w:rPr>
          <w:rFonts w:ascii="Arial" w:hAnsi="Arial" w:cs="Arial"/>
        </w:rPr>
      </w:pPr>
      <w:r>
        <w:rPr>
          <w:rFonts w:cs="Arial" w:ascii="Arial" w:hAnsi="Arial"/>
        </w:rPr>
        <w:t>The adverse implications of delaying market opening until the Spring of 2002 or later cannot be underestimated:</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Major institutions are gearing up for a market opening later this year.  If market opening is delayed yet again (from 2001 to the Spring of 2002 or later), serious institutional fatigue will set in at the IMO and the utilities, and among new entrants.</w:t>
        <w:tab/>
        <w:tab/>
        <w:tab/>
        <w:tab/>
        <w:tab/>
        <w:tab/>
        <w:tab/>
        <w:tab/>
        <w:tab/>
        <w:tab/>
        <w:tab/>
        <w:tab/>
      </w:r>
    </w:p>
    <w:p>
      <w:pPr>
        <w:pStyle w:val="Normal"/>
        <w:numPr>
          <w:ilvl w:val="0"/>
          <w:numId w:val="7"/>
        </w:numPr>
        <w:jc w:val="both"/>
        <w:rPr>
          <w:rFonts w:ascii="Arial" w:hAnsi="Arial" w:cs="Arial"/>
        </w:rPr>
      </w:pPr>
      <w:r>
        <w:rPr>
          <w:rFonts w:cs="Arial" w:ascii="Arial" w:hAnsi="Arial"/>
        </w:rPr>
        <w:t>Moreover, many participants, including large industrial customers, have, in expectation of market opening later this year, already entered into the commercial arrangements and created the infrastructure necessary for market opening and the post-market opening period.  Those commercial arrangements relate to matters such as power procurement, power supply, risk management, and settlement and dispatch services. These arrangements have helped and are helping industrial counterparties lock in prices with respect to their power supply post-market opening. These existing arrangements, including the underlying pricing terms, may be jeopardized by a further delay in the market.</w:t>
      </w:r>
    </w:p>
    <w:p>
      <w:pPr>
        <w:pStyle w:val="Normal"/>
        <w:ind w:start="288" w:end="0"/>
        <w:jc w:val="both"/>
        <w:rPr>
          <w:rFonts w:ascii="Arial" w:hAnsi="Arial" w:cs="Arial"/>
        </w:rPr>
      </w:pPr>
      <w:r>
        <w:rPr>
          <w:rFonts w:eastAsia="Arial" w:cs="Arial" w:ascii="Arial" w:hAnsi="Arial"/>
        </w:rPr>
        <w:t xml:space="preserve">                                                                                                                 </w:t>
      </w:r>
      <w:r>
        <w:rPr>
          <w:rFonts w:cs="Arial" w:ascii="Arial" w:hAnsi="Arial"/>
        </w:rPr>
        <w:tab/>
      </w:r>
    </w:p>
    <w:p>
      <w:pPr>
        <w:pStyle w:val="Normal"/>
        <w:numPr>
          <w:ilvl w:val="0"/>
          <w:numId w:val="7"/>
        </w:numPr>
        <w:jc w:val="both"/>
        <w:rPr>
          <w:rFonts w:ascii="Arial" w:hAnsi="Arial" w:cs="Arial"/>
        </w:rPr>
      </w:pPr>
      <w:r>
        <w:rPr>
          <w:rFonts w:cs="Arial" w:ascii="Arial" w:hAnsi="Arial"/>
        </w:rPr>
        <w:t>A further delay in market opening will also complicate efforts to accelerate the “decontrol” or divestiture of OPG generation assets.  It will reduce and postpone the period of time over which entities contemplating the acquisition of such assets will be able to observe the way the price setting mechanisms in the Ontario market actually operate.  Accordingly, the relative paucity of data regarding market operations will lead potential buyers of OPG assets to discount the price they would otherwise be willing to pay for such assets.</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With a further delay, the restructuring process in Ontario will lose credibility among those who might otherwise invest in or enter in the market and, in particular, among those who have already committed significant resources to the Ontario market.   We cannot delay the market yet again and expect investors / new entrants to stay interested and continue to commit resources to the Ontario electricity sector.</w:t>
      </w:r>
    </w:p>
    <w:p>
      <w:pPr>
        <w:pStyle w:val="Normal"/>
        <w:jc w:val="both"/>
        <w:rPr>
          <w:rFonts w:ascii="Arial" w:hAnsi="Arial" w:cs="Arial"/>
        </w:rPr>
      </w:pPr>
      <w:r>
        <w:rPr>
          <w:rFonts w:cs="Arial" w:ascii="Arial" w:hAnsi="Arial"/>
        </w:rPr>
      </w:r>
    </w:p>
    <w:p>
      <w:pPr>
        <w:pStyle w:val="Normal"/>
        <w:numPr>
          <w:ilvl w:val="0"/>
          <w:numId w:val="8"/>
        </w:numPr>
        <w:tabs>
          <w:tab w:val="clear" w:pos="720"/>
          <w:tab w:val="left" w:pos="180" w:leader="none"/>
          <w:tab w:val="left" w:pos="2700" w:leader="none"/>
        </w:tabs>
        <w:jc w:val="both"/>
        <w:rPr>
          <w:rFonts w:ascii="Arial" w:hAnsi="Arial" w:cs="Arial"/>
        </w:rPr>
      </w:pPr>
      <w:r>
        <w:rPr>
          <w:rFonts w:cs="Arial" w:ascii="Arial" w:hAnsi="Arial"/>
        </w:rPr>
        <w:t xml:space="preserve">When such credibility is lost, investment capital will quickly move on to invest in other regions or markets where more credibility or certainty exists.  This reaction is increasingly true given the acute need for investment in development of generation facilities and the marketing of power across the continent and, indeed, worldwide.  </w:t>
        <w:tab/>
        <w:tab/>
        <w:tab/>
        <w:tab/>
        <w:tab/>
        <w:tab/>
        <w:tab/>
        <w:tab/>
        <w:tab/>
        <w:tab/>
        <w:tab/>
        <w:tab/>
        <w:tab/>
        <w:tab/>
        <w:tab/>
        <w:tab/>
        <w:tab/>
        <w:tab/>
        <w:tab/>
        <w:tab/>
        <w:tab/>
        <w:tab/>
        <w:tab/>
        <w:tab/>
        <w:t xml:space="preserve">                                                                                                                                                        </w:t>
      </w:r>
    </w:p>
    <w:p>
      <w:pPr>
        <w:pStyle w:val="Normal"/>
        <w:numPr>
          <w:ilvl w:val="0"/>
          <w:numId w:val="2"/>
        </w:numPr>
        <w:tabs>
          <w:tab w:val="clear" w:pos="720"/>
          <w:tab w:val="left" w:pos="180" w:leader="none"/>
        </w:tabs>
        <w:ind w:hanging="432" w:start="180" w:end="0"/>
        <w:jc w:val="both"/>
        <w:rPr>
          <w:rFonts w:ascii="Arial" w:hAnsi="Arial" w:cs="Arial"/>
        </w:rPr>
      </w:pPr>
      <w:r>
        <w:rPr>
          <w:rFonts w:cs="Arial" w:ascii="Arial" w:hAnsi="Arial"/>
        </w:rPr>
        <w:t xml:space="preserve">Delaying market opening until the return to service of one or more of the Pickering A units would be the wrong public policy decision: </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u w:val="single"/>
        </w:rPr>
      </w:pPr>
      <w:r>
        <w:rPr>
          <w:rFonts w:cs="Arial" w:ascii="Arial" w:hAnsi="Arial"/>
        </w:rPr>
        <w:t xml:space="preserve">Delaying market opening will not bring those Pickering units back on stream any earlier.  Even without the Pickering A units, Ontario has a manageable reserve margin, above the average throughout the Eastern Interconnect. </w:t>
        <w:tab/>
        <w:tab/>
        <w:tab/>
        <w:tab/>
        <w:tab/>
      </w:r>
    </w:p>
    <w:p>
      <w:pPr>
        <w:pStyle w:val="Normal"/>
        <w:numPr>
          <w:ilvl w:val="0"/>
          <w:numId w:val="11"/>
        </w:numPr>
        <w:jc w:val="both"/>
        <w:rPr>
          <w:rFonts w:ascii="Arial" w:hAnsi="Arial" w:cs="Arial"/>
          <w:u w:val="single"/>
        </w:rPr>
      </w:pPr>
      <w:r>
        <w:rPr>
          <w:rFonts w:cs="Arial" w:ascii="Arial" w:hAnsi="Arial"/>
        </w:rPr>
        <w:t>The nuclear optimization programme is already significantly behind schedule and over budget. Given that track record, we cannot say with confidence when the Pickering units will in fact be operational.  Accordingly, making market opening conditional, in any way, on the return to service of the Pickering A units would add considerably to the uncertainty among investors/new entrants regarding the future direction of the Ontario electricity sector.</w:t>
        <w:tab/>
        <w:tab/>
        <w:tab/>
        <w:tab/>
        <w:tab/>
        <w:tab/>
        <w:tab/>
        <w:tab/>
        <w:tab/>
        <w:tab/>
        <w:tab/>
        <w:tab/>
        <w:tab/>
        <w:tab/>
      </w:r>
    </w:p>
    <w:p>
      <w:pPr>
        <w:pStyle w:val="Normal"/>
        <w:numPr>
          <w:ilvl w:val="0"/>
          <w:numId w:val="11"/>
        </w:numPr>
        <w:jc w:val="both"/>
        <w:rPr>
          <w:rFonts w:ascii="Arial" w:hAnsi="Arial" w:cs="Arial"/>
          <w:u w:val="single"/>
        </w:rPr>
      </w:pPr>
      <w:r>
        <w:rPr>
          <w:rFonts w:cs="Arial" w:ascii="Arial" w:hAnsi="Arial"/>
        </w:rPr>
        <w:t>That continuing uncertainty would cause investment in new Ontario generation to be delayed or lost altogether.  The delay or loss of that investment in new generation resources would be a serious blow for Ontario, particularly given that those new resources would be more flexible and reliable than the Pickering nuclear units.  In this regard, we cannot forget Ontario Hydro’s dismal track record with respect to the operation of its nuclear assets.</w:t>
        <w:tab/>
        <w:tab/>
        <w:tab/>
        <w:tab/>
        <w:tab/>
        <w:tab/>
      </w:r>
    </w:p>
    <w:p>
      <w:pPr>
        <w:pStyle w:val="Normal"/>
        <w:numPr>
          <w:ilvl w:val="0"/>
          <w:numId w:val="11"/>
        </w:numPr>
        <w:jc w:val="both"/>
        <w:rPr>
          <w:rFonts w:ascii="Arial" w:hAnsi="Arial" w:cs="Arial"/>
          <w:u w:val="single"/>
        </w:rPr>
      </w:pPr>
      <w:r>
        <w:rPr>
          <w:rFonts w:cs="Arial" w:ascii="Arial" w:hAnsi="Arial"/>
        </w:rPr>
        <w:t xml:space="preserve">Most of the near term reliability and resource adequacy risk in Ontario arises from the system’s reliance on large, relatively inflexible generation resources and the relative lack of smaller, more flexible units.  Increasing the number of such smaller, more flexible generation units will enhance system reliability by alleviating the risk posed to the system by a forced outage, during a period of peak demand, of one of OPG’s large nuclear or coal units. </w:t>
      </w:r>
    </w:p>
    <w:p>
      <w:pPr>
        <w:pStyle w:val="Normal"/>
        <w:jc w:val="both"/>
        <w:rPr>
          <w:rFonts w:ascii="Arial" w:hAnsi="Arial" w:cs="Arial"/>
          <w:u w:val="single"/>
        </w:rPr>
      </w:pPr>
      <w:r>
        <w:rPr>
          <w:rFonts w:cs="Arial" w:ascii="Arial" w:hAnsi="Arial"/>
          <w:u w:val="single"/>
        </w:rPr>
      </w:r>
    </w:p>
    <w:p>
      <w:pPr>
        <w:pStyle w:val="Normal"/>
        <w:numPr>
          <w:ilvl w:val="0"/>
          <w:numId w:val="3"/>
        </w:numPr>
        <w:jc w:val="both"/>
        <w:rPr>
          <w:rFonts w:ascii="Arial" w:hAnsi="Arial" w:cs="Arial"/>
        </w:rPr>
      </w:pPr>
      <w:r>
        <w:rPr>
          <w:rFonts w:cs="Arial" w:ascii="Arial" w:hAnsi="Arial"/>
        </w:rPr>
        <w:t xml:space="preserve">The return to service of one or more of the Pickering units will not by itself have a material impact on power prices in Ontario. In a competitive market, prices in Ontario will track prices in the Eastern Interconnect, </w:t>
      </w:r>
      <w:r>
        <w:rPr>
          <w:rFonts w:cs="Arial" w:ascii="Arial" w:hAnsi="Arial"/>
          <w:u w:val="single"/>
        </w:rPr>
        <w:t>after</w:t>
      </w:r>
      <w:r>
        <w:rPr>
          <w:rFonts w:cs="Arial" w:ascii="Arial" w:hAnsi="Arial"/>
        </w:rPr>
        <w:t xml:space="preserve"> accounting for congestion costs and transmission charges.  Accordingly, we can say with a very high degree of confidence that, given Ontario’s reserve margin, Ontario prices will be lower than in the connected US markets, even prior to the return of the Pickering units. </w:t>
      </w:r>
    </w:p>
    <w:p>
      <w:pPr>
        <w:pStyle w:val="Normal"/>
        <w:jc w:val="both"/>
        <w:rPr>
          <w:rFonts w:ascii="Arial" w:hAnsi="Arial" w:cs="Arial"/>
        </w:rPr>
      </w:pPr>
      <w:r>
        <w:rPr>
          <w:rFonts w:eastAsia="Arial" w:cs="Arial" w:ascii="Arial" w:hAnsi="Arial"/>
        </w:rPr>
        <w:t xml:space="preserve"> </w:t>
      </w:r>
      <w:r>
        <w:rPr>
          <w:rFonts w:cs="Arial" w:ascii="Arial" w:hAnsi="Arial"/>
        </w:rPr>
        <w:tab/>
        <w:tab/>
        <w:tab/>
        <w:tab/>
        <w:tab/>
        <w:tab/>
        <w:t xml:space="preserve">    </w:t>
      </w:r>
    </w:p>
    <w:p>
      <w:pPr>
        <w:pStyle w:val="Normal"/>
        <w:numPr>
          <w:ilvl w:val="0"/>
          <w:numId w:val="4"/>
        </w:numPr>
        <w:jc w:val="both"/>
        <w:rPr>
          <w:rFonts w:ascii="Arial" w:hAnsi="Arial" w:cs="Arial"/>
        </w:rPr>
      </w:pPr>
      <w:r>
        <w:rPr>
          <w:rFonts w:cs="Arial" w:ascii="Arial" w:hAnsi="Arial"/>
        </w:rPr>
        <w:t xml:space="preserve">Prices in the Eastern Interconnect will decrease as new generation facilities are built throughout the region and as fuel costs decline. The best way for Ontario to reap the benefits of that trend is to establish an open market as soon as possible. The best way for Ontario to contribute to that downward pressure on prices is to establish a market environment in which generators can, with confidence, plan for and undertake investment within the Province. </w:t>
      </w:r>
    </w:p>
    <w:p>
      <w:pPr>
        <w:pStyle w:val="Normal"/>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 xml:space="preserve">In other words, delaying market opening until the return of one or more of the Pickering A units will actually produce the very consequences that the advocates of such a delay want to avoid – namely, such a delay would adversely impact reliability, the demand / supply balance and prices in Ontario. </w:t>
      </w:r>
    </w:p>
    <w:p>
      <w:pPr>
        <w:pStyle w:val="Normal"/>
        <w:ind w:start="-360" w:end="-180"/>
        <w:jc w:val="both"/>
        <w:rPr>
          <w:rFonts w:ascii="Arial" w:hAnsi="Arial" w:cs="Arial"/>
        </w:rPr>
      </w:pPr>
      <w:r>
        <w:rPr>
          <w:rFonts w:cs="Arial" w:ascii="Arial" w:hAnsi="Arial"/>
        </w:rPr>
      </w:r>
    </w:p>
    <w:p>
      <w:pPr>
        <w:pStyle w:val="Normal"/>
        <w:ind w:start="288" w:end="0"/>
        <w:jc w:val="both"/>
        <w:rPr>
          <w:rFonts w:ascii="Arial" w:hAnsi="Arial" w:cs="Arial"/>
        </w:rPr>
      </w:pPr>
      <w:r>
        <w:rPr>
          <w:rFonts w:cs="Arial" w:ascii="Arial" w:hAnsi="Arial"/>
        </w:rPr>
      </w:r>
    </w:p>
    <w:p>
      <w:pPr>
        <w:pStyle w:val="Normal"/>
        <w:numPr>
          <w:ilvl w:val="3"/>
          <w:numId w:val="2"/>
        </w:numPr>
        <w:tabs>
          <w:tab w:val="clear" w:pos="720"/>
          <w:tab w:val="left" w:pos="360" w:leader="none"/>
          <w:tab w:val="left" w:pos="2700" w:leader="none"/>
        </w:tabs>
        <w:ind w:hanging="432" w:start="360" w:end="0"/>
        <w:jc w:val="both"/>
        <w:rPr>
          <w:rFonts w:ascii="Arial" w:hAnsi="Arial" w:cs="Arial"/>
        </w:rPr>
      </w:pPr>
      <w:r>
        <w:rPr>
          <w:rFonts w:cs="Arial" w:ascii="Arial" w:hAnsi="Arial"/>
        </w:rPr>
        <w:t>The Ontario Government should have confidence in the restructuring plan which, under its leadership, is now in place in Ontario: in the words of a leading US energy executive, Ontario has “thought out the deregulation process so well that it has a chance to shine as a leading-edge example of what deregulation can do.”</w:t>
      </w:r>
    </w:p>
    <w:p>
      <w:pPr>
        <w:pStyle w:val="Normal"/>
        <w:tabs>
          <w:tab w:val="clear" w:pos="720"/>
          <w:tab w:val="left" w:pos="360" w:leader="none"/>
          <w:tab w:val="left" w:pos="2700" w:leader="none"/>
        </w:tabs>
        <w:jc w:val="both"/>
        <w:rPr>
          <w:rFonts w:ascii="Arial" w:hAnsi="Arial" w:cs="Arial"/>
        </w:rPr>
      </w:pPr>
      <w:r>
        <w:rPr>
          <w:rFonts w:cs="Arial" w:ascii="Arial" w:hAnsi="Arial"/>
        </w:rPr>
      </w:r>
    </w:p>
    <w:p>
      <w:pPr>
        <w:pStyle w:val="Normal"/>
        <w:tabs>
          <w:tab w:val="clear" w:pos="720"/>
          <w:tab w:val="left" w:pos="360" w:leader="none"/>
          <w:tab w:val="left" w:pos="2700" w:leader="none"/>
        </w:tabs>
        <w:ind w:start="-72" w:end="0"/>
        <w:jc w:val="both"/>
        <w:rPr>
          <w:rFonts w:ascii="Arial" w:hAnsi="Arial" w:cs="Arial"/>
        </w:rPr>
      </w:pPr>
      <w:r>
        <w:rPr>
          <w:rFonts w:cs="Arial" w:ascii="Arial" w:hAnsi="Arial"/>
        </w:rPr>
      </w:r>
    </w:p>
    <w:p>
      <w:pPr>
        <w:pStyle w:val="Normal"/>
        <w:numPr>
          <w:ilvl w:val="3"/>
          <w:numId w:val="2"/>
        </w:numPr>
        <w:tabs>
          <w:tab w:val="clear" w:pos="720"/>
          <w:tab w:val="left" w:pos="360" w:leader="none"/>
          <w:tab w:val="left" w:pos="2700" w:leader="none"/>
        </w:tabs>
        <w:ind w:hanging="432" w:start="360" w:end="0"/>
        <w:jc w:val="both"/>
        <w:rPr>
          <w:rFonts w:ascii="Arial" w:hAnsi="Arial" w:cs="Arial"/>
        </w:rPr>
      </w:pPr>
      <w:r>
        <w:rPr>
          <w:rFonts w:cs="Arial" w:ascii="Arial" w:hAnsi="Arial"/>
        </w:rPr>
        <w:t>The Ontario Government should have confidence that the best way forward is to proceed with the implementation of that plan and with the opening of the Ontario wholesale and retail markets in the early Fall of 2001.</w:t>
      </w:r>
    </w:p>
    <w:p>
      <w:pPr>
        <w:pStyle w:val="Normal"/>
        <w:ind w:start="1512" w:end="0"/>
        <w:jc w:val="both"/>
        <w:rPr>
          <w:rFonts w:ascii="Arial" w:hAnsi="Arial" w:cs="Arial"/>
          <w:u w:val="single"/>
        </w:rPr>
      </w:pPr>
      <w:r>
        <w:rPr>
          <w:rFonts w:cs="Arial" w:ascii="Arial" w:hAnsi="Arial"/>
          <w:u w:val="single"/>
        </w:rPr>
      </w:r>
    </w:p>
    <w:p>
      <w:pPr>
        <w:pStyle w:val="Normal"/>
        <w:ind w:start="288" w:end="0"/>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headerReference w:type="default" r:id="rId2"/>
      <w:footerReference w:type="default" r:id="rId3"/>
      <w:type w:val="nextPage"/>
      <w:pgSz w:w="12240" w:h="15840"/>
      <w:pgMar w:left="1440" w:right="1440" w:gutter="0" w:header="720" w:top="126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3">
    <w:charset w:val="0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448"/>
        </w:tabs>
        <w:ind w:start="2448" w:hanging="432"/>
      </w:pPr>
      <w:rPr>
        <w:rFonts w:ascii="Symbol" w:hAnsi="Symbol" w:cs="Symbol" w:hint="default"/>
        <w:sz w:val="20"/>
        <w:color w:val="000000"/>
      </w:rPr>
    </w:lvl>
  </w:abstractNum>
  <w:abstractNum w:abstractNumId="2">
    <w:lvl w:ilvl="0">
      <w:start w:val="1"/>
      <w:numFmt w:val="bullet"/>
      <w:lvlText w:val=""/>
      <w:lvlJc w:val="start"/>
      <w:pPr>
        <w:tabs>
          <w:tab w:val="num" w:pos="720"/>
        </w:tabs>
        <w:ind w:start="720" w:hanging="432"/>
      </w:pPr>
      <w:rPr>
        <w:rFonts w:ascii="Symbol" w:hAnsi="Symbol" w:cs="Symbol" w:hint="default"/>
        <w:sz w:val="20"/>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952"/>
        </w:tabs>
        <w:ind w:start="2952" w:hanging="432"/>
      </w:pPr>
      <w:rPr>
        <w:rFonts w:ascii="Symbol" w:hAnsi="Symbol" w:cs="Symbol" w:hint="default"/>
        <w:sz w:val="20"/>
        <w:color w:val="000000"/>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648"/>
        </w:tabs>
        <w:ind w:start="648" w:hanging="360"/>
      </w:pPr>
      <w:rPr>
        <w:rFonts w:ascii="Wingdings 3" w:hAnsi="Wingdings 3" w:cs="Wingdings 3" w:hint="default"/>
      </w:rPr>
    </w:lvl>
  </w:abstractNum>
  <w:abstractNum w:abstractNumId="4">
    <w:lvl w:ilvl="0">
      <w:start w:val="1"/>
      <w:numFmt w:val="bullet"/>
      <w:lvlText w:val=""/>
      <w:lvlJc w:val="start"/>
      <w:pPr>
        <w:tabs>
          <w:tab w:val="num" w:pos="648"/>
        </w:tabs>
        <w:ind w:start="648" w:hanging="360"/>
      </w:pPr>
      <w:rPr>
        <w:rFonts w:ascii="Wingdings 3" w:hAnsi="Wingdings 3" w:cs="Wingdings 3" w:hint="default"/>
      </w:rPr>
    </w:lvl>
  </w:abstractNum>
  <w:abstractNum w:abstractNumId="5">
    <w:lvl w:ilvl="0">
      <w:start w:val="1"/>
      <w:numFmt w:val="bullet"/>
      <w:lvlText w:val=""/>
      <w:lvlJc w:val="start"/>
      <w:pPr>
        <w:tabs>
          <w:tab w:val="num" w:pos="648"/>
        </w:tabs>
        <w:ind w:start="648" w:hanging="360"/>
      </w:pPr>
      <w:rPr>
        <w:rFonts w:ascii="Wingdings 3" w:hAnsi="Wingdings 3" w:cs="Wingdings 3" w:hint="default"/>
      </w:rPr>
    </w:lvl>
  </w:abstractNum>
  <w:abstractNum w:abstractNumId="6">
    <w:lvl w:ilvl="0">
      <w:start w:val="1"/>
      <w:numFmt w:val="bullet"/>
      <w:lvlText w:val=""/>
      <w:lvlJc w:val="start"/>
      <w:pPr>
        <w:tabs>
          <w:tab w:val="num" w:pos="720"/>
        </w:tabs>
        <w:ind w:start="720" w:hanging="432"/>
      </w:pPr>
      <w:rPr>
        <w:rFonts w:ascii="Symbol" w:hAnsi="Symbol" w:cs="Symbol" w:hint="default"/>
        <w:sz w:val="20"/>
        <w:color w:val="000000"/>
      </w:rPr>
    </w:lvl>
  </w:abstractNum>
  <w:abstractNum w:abstractNumId="7">
    <w:lvl w:ilvl="0">
      <w:start w:val="1"/>
      <w:numFmt w:val="bullet"/>
      <w:lvlText w:val=""/>
      <w:lvlJc w:val="start"/>
      <w:pPr>
        <w:tabs>
          <w:tab w:val="num" w:pos="648"/>
        </w:tabs>
        <w:ind w:start="648" w:hanging="360"/>
      </w:pPr>
      <w:rPr>
        <w:rFonts w:ascii="Wingdings 3" w:hAnsi="Wingdings 3" w:cs="Wingdings 3" w:hint="default"/>
      </w:rPr>
    </w:lvl>
  </w:abstractNum>
  <w:abstractNum w:abstractNumId="8">
    <w:lvl w:ilvl="0">
      <w:start w:val="1"/>
      <w:numFmt w:val="bullet"/>
      <w:lvlText w:val=""/>
      <w:lvlJc w:val="start"/>
      <w:pPr>
        <w:tabs>
          <w:tab w:val="num" w:pos="648"/>
        </w:tabs>
        <w:ind w:start="648" w:hanging="360"/>
      </w:pPr>
      <w:rPr>
        <w:rFonts w:ascii="Wingdings 3" w:hAnsi="Wingdings 3" w:cs="Wingdings 3" w:hint="default"/>
      </w:rPr>
    </w:lvl>
  </w:abstractNum>
  <w:abstractNum w:abstractNumId="9">
    <w:lvl w:ilvl="0">
      <w:start w:val="1"/>
      <w:numFmt w:val="bullet"/>
      <w:lvlText w:val=""/>
      <w:lvlJc w:val="start"/>
      <w:pPr>
        <w:tabs>
          <w:tab w:val="num" w:pos="648"/>
        </w:tabs>
        <w:ind w:start="648" w:hanging="360"/>
      </w:pPr>
      <w:rPr>
        <w:rFonts w:ascii="Wingdings 3" w:hAnsi="Wingdings 3" w:cs="Wingdings 3" w:hint="default"/>
      </w:rPr>
    </w:lvl>
  </w:abstractNum>
  <w:abstractNum w:abstractNumId="10">
    <w:lvl w:ilvl="0">
      <w:start w:val="1"/>
      <w:numFmt w:val="bullet"/>
      <w:lvlText w:val=""/>
      <w:lvlJc w:val="start"/>
      <w:pPr>
        <w:tabs>
          <w:tab w:val="num" w:pos="648"/>
        </w:tabs>
        <w:ind w:start="648" w:hanging="360"/>
      </w:pPr>
      <w:rPr>
        <w:rFonts w:ascii="Wingdings 3" w:hAnsi="Wingdings 3" w:cs="Wingdings 3" w:hint="default"/>
      </w:rPr>
    </w:lvl>
  </w:abstractNum>
  <w:abstractNum w:abstractNumId="11">
    <w:lvl w:ilvl="0">
      <w:start w:val="1"/>
      <w:numFmt w:val="bullet"/>
      <w:lvlText w:val=""/>
      <w:lvlJc w:val="start"/>
      <w:pPr>
        <w:tabs>
          <w:tab w:val="num" w:pos="648"/>
        </w:tabs>
        <w:ind w:start="648" w:hanging="360"/>
      </w:pPr>
      <w:rPr>
        <w:rFonts w:ascii="Wingdings 3" w:hAnsi="Wingdings 3" w:cs="Wingdings 3"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color w:val="000000"/>
      <w:sz w:val="20"/>
    </w:rPr>
  </w:style>
  <w:style w:type="character" w:styleId="WW8Num2z6">
    <w:name w:val="WW8Num2z6"/>
    <w:qFormat/>
    <w:rPr>
      <w:rFonts w:ascii="Symbol" w:hAnsi="Symbol" w:cs="Symbol"/>
    </w:rPr>
  </w:style>
  <w:style w:type="character" w:styleId="WW8Num3z0">
    <w:name w:val="WW8Num3z0"/>
    <w:qFormat/>
    <w:rPr>
      <w:rFonts w:ascii="Symbol" w:hAnsi="Symbol" w:cs="Symbol"/>
      <w:color w:val="000000"/>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6">
    <w:name w:val="WW8Num3z6"/>
    <w:qFormat/>
    <w:rPr>
      <w:rFonts w:ascii="Symbol" w:hAnsi="Symbol" w:cs="Symbol"/>
    </w:rPr>
  </w:style>
  <w:style w:type="character" w:styleId="WW8Num4z0">
    <w:name w:val="WW8Num4z0"/>
    <w:qFormat/>
    <w:rPr>
      <w:rFonts w:ascii="Wingdings 3" w:hAnsi="Wingdings 3" w:cs="Wingdings 3"/>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color w:val="000000"/>
      <w:sz w:val="20"/>
    </w:rPr>
  </w:style>
  <w:style w:type="character" w:styleId="WW8Num4z6">
    <w:name w:val="WW8Num4z6"/>
    <w:qFormat/>
    <w:rPr>
      <w:rFonts w:ascii="Symbol" w:hAnsi="Symbol" w:cs="Symbol"/>
    </w:rPr>
  </w:style>
  <w:style w:type="character" w:styleId="WW8Num5z0">
    <w:name w:val="WW8Num5z0"/>
    <w:qFormat/>
    <w:rPr>
      <w:rFonts w:ascii="Wingdings 3" w:hAnsi="Wingdings 3" w:cs="Wingdings 3"/>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color w:val="000000"/>
      <w:sz w:val="20"/>
    </w:rPr>
  </w:style>
  <w:style w:type="character" w:styleId="WW8Num5z6">
    <w:name w:val="WW8Num5z6"/>
    <w:qFormat/>
    <w:rPr>
      <w:rFonts w:ascii="Symbol" w:hAnsi="Symbol" w:cs="Symbol"/>
    </w:rPr>
  </w:style>
  <w:style w:type="character" w:styleId="WW8Num6z0">
    <w:name w:val="WW8Num6z0"/>
    <w:qFormat/>
    <w:rPr>
      <w:rFonts w:ascii="Wingdings 3" w:hAnsi="Wingdings 3" w:cs="Wingdings 3"/>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color w:val="000000"/>
      <w:sz w:val="20"/>
    </w:rPr>
  </w:style>
  <w:style w:type="character" w:styleId="WW8Num6z6">
    <w:name w:val="WW8Num6z6"/>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3" w:hAnsi="Wingdings 3" w:cs="Wingdings 3"/>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color w:val="000000"/>
      <w:sz w:val="20"/>
    </w:rPr>
  </w:style>
  <w:style w:type="character" w:styleId="WW8Num8z6">
    <w:name w:val="WW8Num8z6"/>
    <w:qFormat/>
    <w:rPr>
      <w:rFonts w:ascii="Symbol" w:hAnsi="Symbol" w:cs="Symbol"/>
    </w:rPr>
  </w:style>
  <w:style w:type="character" w:styleId="WW8Num9z0">
    <w:name w:val="WW8Num9z0"/>
    <w:qFormat/>
    <w:rPr>
      <w:rFonts w:ascii="Symbol" w:hAnsi="Symbol" w:cs="Symbol"/>
      <w:color w:val="000000"/>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Wingdings 3" w:hAnsi="Wingdings 3" w:cs="Wingdings 3"/>
    </w:rPr>
  </w:style>
  <w:style w:type="character" w:styleId="WW8Num9z6">
    <w:name w:val="WW8Num9z6"/>
    <w:qFormat/>
    <w:rPr>
      <w:rFonts w:ascii="Symbol" w:hAnsi="Symbol" w:cs="Symbol"/>
    </w:rPr>
  </w:style>
  <w:style w:type="character" w:styleId="WW8Num10z0">
    <w:name w:val="WW8Num10z0"/>
    <w:qFormat/>
    <w:rPr>
      <w:rFonts w:ascii="Symbol" w:hAnsi="Symbol" w:cs="Symbol"/>
      <w:color w:val="000000"/>
      <w:sz w:val="2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Wingdings 3" w:hAnsi="Wingdings 3" w:cs="Wingdings 3"/>
    </w:rPr>
  </w:style>
  <w:style w:type="character" w:styleId="WW8Num10z6">
    <w:name w:val="WW8Num10z6"/>
    <w:qFormat/>
    <w:rPr>
      <w:rFonts w:ascii="Symbol" w:hAnsi="Symbol" w:cs="Symbol"/>
    </w:rPr>
  </w:style>
  <w:style w:type="character" w:styleId="WW8Num11z0">
    <w:name w:val="WW8Num11z0"/>
    <w:qFormat/>
    <w:rPr>
      <w:rFonts w:ascii="Wingdings 3" w:hAnsi="Wingdings 3" w:cs="Wingdings 3"/>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color w:val="000000"/>
      <w:sz w:val="20"/>
    </w:rPr>
  </w:style>
  <w:style w:type="character" w:styleId="WW8Num11z6">
    <w:name w:val="WW8Num11z6"/>
    <w:qFormat/>
    <w:rPr>
      <w:rFonts w:ascii="Symbol" w:hAnsi="Symbol" w:cs="Symbol"/>
    </w:rPr>
  </w:style>
  <w:style w:type="character" w:styleId="WW8Num12z0">
    <w:name w:val="WW8Num12z0"/>
    <w:qFormat/>
    <w:rPr>
      <w:rFonts w:ascii="Symbol" w:hAnsi="Symbol" w:cs="Symbol"/>
      <w:color w:val="000000"/>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Wingdings 3" w:hAnsi="Wingdings 3" w:cs="Wingdings 3"/>
    </w:rPr>
  </w:style>
  <w:style w:type="character" w:styleId="WW8Num12z6">
    <w:name w:val="WW8Num12z6"/>
    <w:qFormat/>
    <w:rPr>
      <w:rFonts w:ascii="Symbol" w:hAnsi="Symbol" w:cs="Symbol"/>
    </w:rPr>
  </w:style>
  <w:style w:type="character" w:styleId="WW8Num13z0">
    <w:name w:val="WW8Num13z0"/>
    <w:qFormat/>
    <w:rPr>
      <w:rFonts w:ascii="Symbol" w:hAnsi="Symbol" w:cs="Symbol"/>
      <w:color w:val="000000"/>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6">
    <w:name w:val="WW8Num13z6"/>
    <w:qFormat/>
    <w:rPr>
      <w:rFonts w:ascii="Symbol" w:hAnsi="Symbol" w:cs="Symbol"/>
    </w:rPr>
  </w:style>
  <w:style w:type="character" w:styleId="WW8Num14z0">
    <w:name w:val="WW8Num14z0"/>
    <w:qFormat/>
    <w:rPr>
      <w:rFonts w:ascii="Wingdings 3" w:hAnsi="Wingdings 3" w:cs="Wingdings 3"/>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color w:val="000000"/>
      <w:sz w:val="20"/>
    </w:rPr>
  </w:style>
  <w:style w:type="character" w:styleId="WW8Num14z6">
    <w:name w:val="WW8Num14z6"/>
    <w:qFormat/>
    <w:rPr>
      <w:rFonts w:ascii="Symbol" w:hAnsi="Symbol" w:cs="Symbol"/>
    </w:rPr>
  </w:style>
  <w:style w:type="character" w:styleId="WW8Num15z0">
    <w:name w:val="WW8Num15z0"/>
    <w:qFormat/>
    <w:rPr>
      <w:rFonts w:ascii="Symbol" w:hAnsi="Symbol" w:cs="Symbol"/>
      <w:color w:val="000000"/>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Wingdings 3" w:hAnsi="Wingdings 3" w:cs="Wingdings 3"/>
    </w:rPr>
  </w:style>
  <w:style w:type="character" w:styleId="WW8Num15z6">
    <w:name w:val="WW8Num15z6"/>
    <w:qFormat/>
    <w:rPr>
      <w:rFonts w:ascii="Symbol" w:hAnsi="Symbol" w:cs="Symbol"/>
    </w:rPr>
  </w:style>
  <w:style w:type="character" w:styleId="WW8Num16z0">
    <w:name w:val="WW8Num16z0"/>
    <w:qFormat/>
    <w:rPr>
      <w:rFonts w:ascii="Wingdings 3" w:hAnsi="Wingdings 3" w:cs="Wingdings 3"/>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color w:val="000000"/>
      <w:sz w:val="20"/>
    </w:rPr>
  </w:style>
  <w:style w:type="character" w:styleId="WW8Num16z6">
    <w:name w:val="WW8Num16z6"/>
    <w:qFormat/>
    <w:rPr>
      <w:rFonts w:ascii="Symbol" w:hAnsi="Symbol" w:cs="Symbol"/>
    </w:rPr>
  </w:style>
  <w:style w:type="character" w:styleId="WW8Num17z0">
    <w:name w:val="WW8Num17z0"/>
    <w:qFormat/>
    <w:rPr>
      <w:rFonts w:ascii="Wingdings 3" w:hAnsi="Wingdings 3" w:cs="Wingdings 3"/>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color w:val="000000"/>
      <w:sz w:val="20"/>
    </w:rPr>
  </w:style>
  <w:style w:type="character" w:styleId="WW8Num17z6">
    <w:name w:val="WW8Num17z6"/>
    <w:qFormat/>
    <w:rPr>
      <w:rFonts w:ascii="Symbol" w:hAnsi="Symbol" w:cs="Symbol"/>
    </w:rPr>
  </w:style>
  <w:style w:type="character" w:styleId="WW8Num18z0">
    <w:name w:val="WW8Num18z0"/>
    <w:qFormat/>
    <w:rPr>
      <w:rFonts w:ascii="Wingdings 3" w:hAnsi="Wingdings 3" w:cs="Wingdings 3"/>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color w:val="000000"/>
      <w:sz w:val="20"/>
    </w:rPr>
  </w:style>
  <w:style w:type="character" w:styleId="WW8Num18z6">
    <w:name w:val="WW8Num18z6"/>
    <w:qFormat/>
    <w:rPr>
      <w:rFonts w:ascii="Symbol" w:hAnsi="Symbol" w:cs="Symbol"/>
    </w:rPr>
  </w:style>
  <w:style w:type="character" w:styleId="WW8Num19z0">
    <w:name w:val="WW8Num19z0"/>
    <w:qFormat/>
    <w:rPr>
      <w:rFonts w:ascii="Wingdings 3" w:hAnsi="Wingdings 3" w:cs="Wingdings 3"/>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color w:val="000000"/>
      <w:sz w:val="20"/>
    </w:rPr>
  </w:style>
  <w:style w:type="character" w:styleId="WW8Num19z6">
    <w:name w:val="WW8Num19z6"/>
    <w:qFormat/>
    <w:rPr>
      <w:rFonts w:ascii="Symbol" w:hAnsi="Symbol" w:cs="Symbol"/>
    </w:rPr>
  </w:style>
  <w:style w:type="character" w:styleId="WW8Num20z0">
    <w:name w:val="WW8Num20z0"/>
    <w:qFormat/>
    <w:rPr>
      <w:rFonts w:ascii="Wingdings 3" w:hAnsi="Wingdings 3" w:cs="Wingdings 3"/>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color w:val="000000"/>
      <w:sz w:val="20"/>
    </w:rPr>
  </w:style>
  <w:style w:type="character" w:styleId="WW8Num20z6">
    <w:name w:val="WW8Num20z6"/>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2001-02-26T12:09:00Z</dcterms:created>
  <dc:creator>lhuculia</dc:creator>
  <dc:description/>
  <dc:language>en-CA</dc:language>
  <cp:lastModifiedBy>adadson</cp:lastModifiedBy>
  <cp:lastPrinted>2001-02-14T15:18:00Z</cp:lastPrinted>
  <dcterms:modified xsi:type="dcterms:W3CDTF">2001-03-21T13:38:00Z</dcterms:modified>
  <cp:revision>62</cp:revision>
  <dc:subject/>
  <dc:title>Market Opening</dc:title>
</cp:coreProperties>
</file>