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 xml:space="preserve">Soft Price Cap for Ancillary Services </w:t>
      </w:r>
    </w:p>
    <w:p>
      <w:pPr>
        <w:pStyle w:val="Heading1"/>
        <w:ind w:hanging="0" w:start="0"/>
        <w:rPr>
          <w:sz w:val="28"/>
        </w:rPr>
      </w:pPr>
      <w:r>
        <w:rPr>
          <w:sz w:val="28"/>
        </w:rPr>
      </w:r>
    </w:p>
    <w:p>
      <w:pPr>
        <w:pStyle w:val="Heading1"/>
        <w:ind w:hanging="0" w:start="0"/>
        <w:rPr>
          <w:rFonts w:ascii="Times New Roman" w:hAnsi="Times New Roman" w:cs="Times New Roman"/>
        </w:rPr>
      </w:pPr>
      <w:r>
        <w:rPr/>
        <w:t>Problem Description</w:t>
      </w:r>
    </w:p>
    <w:p>
      <w:pPr>
        <w:pStyle w:val="BodyText2"/>
        <w:spacing w:before="120" w:after="0"/>
        <w:rPr>
          <w:rFonts w:ascii="Times New Roman" w:hAnsi="Times New Roman" w:cs="Times New Roman"/>
          <w:sz w:val="20"/>
        </w:rPr>
      </w:pPr>
      <w:r>
        <w:rPr>
          <w:rFonts w:cs="Times New Roman" w:ascii="Times New Roman" w:hAnsi="Times New Roman"/>
          <w:sz w:val="20"/>
        </w:rPr>
        <w:t>Last December, ISO implemented the Soft Price Cap scheme that established a soft price cap for both energy and Ancillary Services (A/S).  Bids above the soft cap, if accepted, would be paid as bid (subject to review and refund), but would not be able to set the Market Clearing Price (MCP).  The soft cap was set to $250 initially and then changed to $150 in January.  In the subsequent FERC Orders dated 4/25 and 6/19, FERC has established new price mitigation schemes.  However, the underlying mechanism of the soft price cap scheme has remained the very much similar.  The only difference is that the soft cap becomes a more dynamic number under the more recent schemes.</w:t>
      </w:r>
    </w:p>
    <w:p>
      <w:pPr>
        <w:pStyle w:val="BodyText2"/>
        <w:spacing w:before="120" w:after="0"/>
        <w:rPr>
          <w:rFonts w:ascii="Times New Roman" w:hAnsi="Times New Roman" w:cs="Times New Roman"/>
          <w:sz w:val="20"/>
        </w:rPr>
      </w:pPr>
      <w:r>
        <w:rPr>
          <w:rFonts w:cs="Times New Roman" w:ascii="Times New Roman" w:hAnsi="Times New Roman"/>
          <w:sz w:val="20"/>
        </w:rPr>
        <w:t>The soft price cap for energy is processed automatically by ISO’s Settlement System.  For A/S, a manual process is being used.  When an A/S bid at above the mitigated price cap is accepted, it receives two payments: one at MCP and another that accounts for the difference between the bid price and MCP.  Currently, this surplus payment is calculated manually and appears as a manual adjustment in the SC’s statement file.  The corresponding allocation of such surplus payments to the market also appears as manual adjustments in the other SCs’ statement files.  The manual process is labor intensive, more prone to error and creates a large number of manual adjustments that are difficult to track.</w:t>
      </w:r>
    </w:p>
    <w:p>
      <w:pPr>
        <w:pStyle w:val="BodyText2"/>
        <w:spacing w:before="120" w:after="0"/>
        <w:rPr>
          <w:rFonts w:ascii="Times New Roman" w:hAnsi="Times New Roman" w:cs="Times New Roman"/>
          <w:sz w:val="20"/>
        </w:rPr>
      </w:pPr>
      <w:r>
        <w:rPr>
          <w:rFonts w:cs="Times New Roman" w:ascii="Times New Roman" w:hAnsi="Times New Roman"/>
          <w:sz w:val="20"/>
        </w:rPr>
      </w:r>
    </w:p>
    <w:p>
      <w:pPr>
        <w:pStyle w:val="BodyText2"/>
        <w:spacing w:before="120" w:after="0"/>
        <w:rPr>
          <w:rFonts w:ascii="Times New Roman" w:hAnsi="Times New Roman" w:cs="Times New Roman"/>
          <w:sz w:val="20"/>
        </w:rPr>
      </w:pPr>
      <w:r>
        <w:rPr>
          <w:rFonts w:cs="Times New Roman" w:ascii="Times New Roman" w:hAnsi="Times New Roman"/>
          <w:sz w:val="20"/>
        </w:rPr>
      </w:r>
    </w:p>
    <w:p>
      <w:pPr>
        <w:pStyle w:val="Heading1"/>
        <w:ind w:hanging="0" w:start="0"/>
        <w:rPr/>
      </w:pPr>
      <w:r>
        <w:rPr/>
        <w:t>Proposed Solution</w:t>
      </w:r>
    </w:p>
    <w:p>
      <w:pPr>
        <w:pStyle w:val="Normal"/>
        <w:rPr/>
      </w:pPr>
      <w:r>
        <w:rPr/>
      </w:r>
    </w:p>
    <w:p>
      <w:pPr>
        <w:pStyle w:val="Normal"/>
        <w:rPr/>
      </w:pPr>
      <w:r>
        <w:rPr/>
        <w:t>ISO plans to automate A/S Soft Price Cap scheme.  Once automated, the accepted A/S bids will receive only one payment whose price is the higher of the bid price and Market Clearing Price.  No manual adjustments will be needed.  The entire payment will appear in the Day Ahead Ancillary Services Due SC payments (charge types 1, 2, 4, 5 and 6) or Hour Ahead Ancillary Services Due SC payments (charge types 51, 52, 54, 55 and 56).</w:t>
      </w:r>
    </w:p>
    <w:p>
      <w:pPr>
        <w:pStyle w:val="Normal"/>
        <w:rPr/>
      </w:pPr>
      <w:r>
        <w:rPr/>
      </w:r>
    </w:p>
    <w:p>
      <w:pPr>
        <w:pStyle w:val="Normal"/>
        <w:rPr/>
      </w:pPr>
      <w:r>
        <w:rPr/>
        <w:t>The Ancillary Services cost allocation (charge types 111,112,114,115 and 116) will be calculated using a weighed average prices for the service instead of the MCPs.</w:t>
      </w:r>
    </w:p>
    <w:p>
      <w:pPr>
        <w:pStyle w:val="Normal"/>
        <w:rPr/>
      </w:pPr>
      <w:r>
        <w:rPr/>
      </w:r>
    </w:p>
    <w:p>
      <w:pPr>
        <w:pStyle w:val="Normal"/>
        <w:rPr/>
      </w:pPr>
      <w:r>
        <w:rPr/>
      </w:r>
    </w:p>
    <w:p>
      <w:pPr>
        <w:pStyle w:val="Normal"/>
        <w:rPr/>
      </w:pPr>
      <w:r>
        <w:rPr/>
      </w:r>
    </w:p>
    <w:p>
      <w:pPr>
        <w:pStyle w:val="Heading1"/>
        <w:ind w:hanging="0" w:start="0"/>
        <w:rPr/>
      </w:pPr>
      <w:r>
        <w:rPr/>
        <w:t>Settlement Calculations</w:t>
      </w:r>
    </w:p>
    <w:p>
      <w:pPr>
        <w:pStyle w:val="Normal"/>
        <w:rPr/>
      </w:pPr>
      <w:r>
        <w:rPr/>
      </w:r>
    </w:p>
    <w:p>
      <w:pPr>
        <w:pStyle w:val="Normal"/>
        <w:rPr/>
      </w:pPr>
      <w:r>
        <w:rPr/>
        <w:t>For Day Ahead (DA) A/S Due SC payments, the price will be given by:</w:t>
      </w:r>
    </w:p>
    <w:p>
      <w:pPr>
        <w:pStyle w:val="Normal"/>
        <w:rPr/>
      </w:pPr>
      <w:r>
        <w:rPr/>
        <w:t>Price = max (Bid Price, DA Zonal MCP of given service)</w:t>
      </w:r>
    </w:p>
    <w:p>
      <w:pPr>
        <w:pStyle w:val="Normal"/>
        <w:rPr/>
      </w:pPr>
      <w:r>
        <w:rPr/>
      </w:r>
    </w:p>
    <w:p>
      <w:pPr>
        <w:pStyle w:val="Normal"/>
        <w:rPr/>
      </w:pPr>
      <w:r>
        <w:rPr/>
        <w:t>Similarly, for Hour Ahead (HA) A/S Due SC payments,</w:t>
      </w:r>
    </w:p>
    <w:p>
      <w:pPr>
        <w:pStyle w:val="Normal"/>
        <w:rPr/>
      </w:pPr>
      <w:r>
        <w:rPr/>
        <w:t>Price = max (Bid Price, HA Zonal MCP of given service)</w:t>
      </w:r>
    </w:p>
    <w:p>
      <w:pPr>
        <w:pStyle w:val="Normal"/>
        <w:rPr/>
      </w:pPr>
      <w:r>
        <w:rPr/>
      </w:r>
    </w:p>
    <w:p>
      <w:pPr>
        <w:pStyle w:val="Normal"/>
        <w:rPr/>
      </w:pPr>
      <w:r>
        <w:rPr/>
        <w:t>For A/S Cost Allocation, the unit price of A/S obligation is currently determined as follows:</w:t>
      </w:r>
    </w:p>
    <w:p>
      <w:pPr>
        <w:pStyle w:val="Normal"/>
        <w:rPr/>
      </w:pPr>
      <w:r>
        <w:rPr/>
        <w:t>Allocation Price = (DAQ*DAMCP + HAQ*HAMCP) / (DAQ + HAQ)</w:t>
      </w:r>
    </w:p>
    <w:p>
      <w:pPr>
        <w:pStyle w:val="Normal"/>
        <w:rPr/>
      </w:pPr>
      <w:r>
        <w:rPr/>
        <w:t>where</w:t>
      </w:r>
    </w:p>
    <w:p>
      <w:pPr>
        <w:pStyle w:val="Normal"/>
        <w:rPr/>
      </w:pPr>
      <w:r>
        <w:rPr/>
        <w:t>DAQ = DA procurement target in the subject DA Region</w:t>
      </w:r>
    </w:p>
    <w:p>
      <w:pPr>
        <w:pStyle w:val="Normal"/>
        <w:rPr/>
      </w:pPr>
      <w:r>
        <w:rPr/>
        <w:t>HAQ = Incremental HA procurement target in the zones that make up the DA region</w:t>
      </w:r>
    </w:p>
    <w:p>
      <w:pPr>
        <w:pStyle w:val="Normal"/>
        <w:rPr/>
      </w:pPr>
      <w:r>
        <w:rPr/>
        <w:t>DAMCP = MCP of the subject service in the DA region</w:t>
      </w:r>
    </w:p>
    <w:p>
      <w:pPr>
        <w:pStyle w:val="Normal"/>
        <w:rPr/>
      </w:pPr>
      <w:r>
        <w:rPr/>
        <w:t>HAMCP = Weighted average MCP of the subject service in the zones that make up the DA region</w:t>
      </w:r>
    </w:p>
    <w:p>
      <w:pPr>
        <w:pStyle w:val="Normal"/>
        <w:rPr/>
      </w:pPr>
      <w:r>
        <w:rPr/>
      </w:r>
    </w:p>
    <w:p>
      <w:pPr>
        <w:pStyle w:val="Normal"/>
        <w:rPr/>
      </w:pPr>
      <w:r>
        <w:rPr/>
        <w:t>Under the new scheme, the MCP terms in the above equation will be replaced by average procurement costs.  Thus,</w:t>
      </w:r>
    </w:p>
    <w:p>
      <w:pPr>
        <w:pStyle w:val="Normal"/>
        <w:rPr/>
      </w:pPr>
      <w:r>
        <w:rPr/>
        <w:t>Allocation Price = (DAQ*DAP + HAQ*HAP) / (DAQ + HAQ)</w:t>
      </w:r>
    </w:p>
    <w:p>
      <w:pPr>
        <w:pStyle w:val="Normal"/>
        <w:rPr/>
      </w:pPr>
      <w:r>
        <w:rPr/>
        <w:t>where</w:t>
      </w:r>
    </w:p>
    <w:p>
      <w:pPr>
        <w:pStyle w:val="Normal"/>
        <w:rPr/>
      </w:pPr>
      <w:r>
        <w:rPr/>
        <w:t>DAP = Average procurement price of the subject service in the DA region</w:t>
      </w:r>
    </w:p>
    <w:p>
      <w:pPr>
        <w:pStyle w:val="Normal"/>
        <w:rPr/>
      </w:pPr>
      <w:r>
        <w:rPr/>
        <w:t>HAP = Average procurement price of the subject service in the zones that make up the DA region</w:t>
      </w:r>
    </w:p>
    <w:p>
      <w:pPr>
        <w:pStyle w:val="Normal"/>
        <w:rPr/>
      </w:pPr>
      <w:r>
        <w:rPr/>
      </w:r>
    </w:p>
    <w:p>
      <w:pPr>
        <w:pStyle w:val="Normal"/>
        <w:rPr/>
      </w:pPr>
      <w:r>
        <w:rPr/>
      </w:r>
    </w:p>
    <w:p>
      <w:pPr>
        <w:pStyle w:val="Normal"/>
        <w:rPr/>
      </w:pPr>
      <w:r>
        <w:rPr/>
      </w:r>
    </w:p>
    <w:p>
      <w:pPr>
        <w:pStyle w:val="Heading1"/>
        <w:ind w:hanging="0" w:start="0"/>
        <w:rPr/>
      </w:pPr>
      <w:r>
        <w:rPr/>
        <w:t>Settlement Statements</w:t>
      </w:r>
    </w:p>
    <w:p>
      <w:pPr>
        <w:pStyle w:val="Normal"/>
        <w:rPr/>
      </w:pPr>
      <w:r>
        <w:rPr/>
      </w:r>
    </w:p>
    <w:p>
      <w:pPr>
        <w:pStyle w:val="Normal"/>
        <w:rPr/>
      </w:pPr>
      <w:r>
        <w:rPr/>
        <w:t>There is no change to the settlement files structure.  The meaning of several fields in the Ancillary Services Detail File have been modified slightly.  These changes are explained in the latest draft of the ISO Settlement Statement Files Specification – Version 13.1.</w:t>
      </w:r>
    </w:p>
    <w:p>
      <w:pPr>
        <w:pStyle w:val="Normal"/>
        <w:rPr/>
      </w:pPr>
      <w:r>
        <w:rPr/>
      </w:r>
    </w:p>
    <w:p>
      <w:pPr>
        <w:pStyle w:val="Normal"/>
        <w:rPr/>
      </w:pPr>
      <w:r>
        <w:rPr/>
      </w:r>
    </w:p>
    <w:p>
      <w:pPr>
        <w:pStyle w:val="Normal"/>
        <w:rPr/>
      </w:pPr>
      <w:r>
        <w:rPr/>
      </w:r>
    </w:p>
    <w:p>
      <w:pPr>
        <w:pStyle w:val="Heading1"/>
        <w:ind w:hanging="0" w:start="0"/>
        <w:rPr/>
      </w:pPr>
      <w:r>
        <w:rPr/>
        <w:t>Implementation Timelines</w:t>
      </w:r>
    </w:p>
    <w:p>
      <w:pPr>
        <w:pStyle w:val="Normal"/>
        <w:rPr/>
      </w:pPr>
      <w:r>
        <w:rPr/>
      </w:r>
    </w:p>
    <w:p>
      <w:pPr>
        <w:pStyle w:val="Normal"/>
        <w:rPr/>
      </w:pPr>
      <w:r>
        <w:rPr/>
        <w:t>The change described above will take place in the Settlement Statements beginning with trade date 5/29/2001, on which the FERC price mitigation scheme (as described in the FERC 4/25 Order) took effect.</w:t>
      </w:r>
    </w:p>
    <w:p>
      <w:pPr>
        <w:pStyle w:val="Normal"/>
        <w:rPr/>
      </w:pPr>
      <w:r>
        <w:rPr/>
      </w:r>
    </w:p>
    <w:p>
      <w:pPr>
        <w:pStyle w:val="Normal"/>
        <w:rPr/>
      </w:pPr>
      <w:r>
        <w:rPr/>
      </w:r>
    </w:p>
    <w:p>
      <w:pPr>
        <w:pStyle w:val="Normal"/>
        <w:rPr/>
      </w:pPr>
      <w:r>
        <w:rPr/>
      </w:r>
    </w:p>
    <w:p>
      <w:pPr>
        <w:pStyle w:val="Heading1"/>
        <w:ind w:hanging="0" w:start="0"/>
        <w:rPr/>
      </w:pPr>
      <w:r>
        <w:rPr/>
        <w:t>Questions and Comments</w:t>
      </w:r>
    </w:p>
    <w:p>
      <w:pPr>
        <w:pStyle w:val="Normal"/>
        <w:rPr/>
      </w:pPr>
      <w:r>
        <w:rPr/>
        <w:t>Please direct your questions and comments to Mr. C. P. Ng via email (</w:t>
      </w:r>
      <w:hyperlink r:id="rId2">
        <w:r>
          <w:rPr>
            <w:rStyle w:val="Hyperlink"/>
          </w:rPr>
          <w:t>cng@caiso.com)</w:t>
        </w:r>
      </w:hyperlink>
      <w:r>
        <w:rPr/>
        <w:t>.</w:t>
      </w:r>
    </w:p>
    <w:p>
      <w:pPr>
        <w:pStyle w:val="Normal"/>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MessageHeader"/>
    <w:pPr>
      <w:widowControl w:val="false"/>
      <w:pBdr>
        <w:top w:val="nil"/>
        <w:left w:val="nil"/>
        <w:bottom w:val="nil"/>
        <w:right w:val="nil"/>
      </w:pBdr>
      <w:shd w:fill="auto" w:val="clear"/>
      <w:tabs>
        <w:tab w:val="clear" w:pos="720"/>
        <w:tab w:val="center" w:pos="4320" w:leader="none"/>
        <w:tab w:val="right" w:pos="8640" w:leader="none"/>
      </w:tabs>
      <w:ind w:hanging="0" w:start="0" w:end="0"/>
    </w:pPr>
    <w:rPr>
      <w:rFonts w:ascii="Times New Roman" w:hAnsi="Times New Roman" w:cs="Times New Roman"/>
      <w:b/>
      <w:kern w:val="2"/>
      <w:sz w:val="20"/>
    </w:rPr>
  </w:style>
  <w:style w:type="paragraph" w:styleId="BodyText2">
    <w:name w:val="Body Text 2"/>
    <w:basedOn w:val="Normal"/>
    <w:qFormat/>
    <w:pPr>
      <w:widowControl w:val="false"/>
    </w:pPr>
    <w:rPr>
      <w:rFonts w:ascii="Arial" w:hAnsi="Arial" w:cs="Arial"/>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ng@caiso.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2001-07-09T13:42:00Z</dcterms:created>
  <dc:creator>VKondragunta</dc:creator>
  <dc:description/>
  <dc:language>en-CA</dc:language>
  <cp:lastModifiedBy>Chi-Pui Ng</cp:lastModifiedBy>
  <cp:lastPrinted>2001-07-09T16:34:00Z</cp:lastPrinted>
  <dcterms:modified xsi:type="dcterms:W3CDTF">2001-07-10T15:13:00Z</dcterms:modified>
  <cp:revision>5</cp:revision>
  <dc:subject/>
  <dc:title>Soft Price Cap Market Notification</dc:title>
</cp:coreProperties>
</file>