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tabs>
          <w:tab w:val="clear" w:pos="720"/>
          <w:tab w:val="center" w:pos="4680" w:leader="none"/>
        </w:tabs>
        <w:rPr/>
      </w:pPr>
      <w:r>
        <w:rPr/>
        <w:tab/>
      </w:r>
      <w:r>
        <w:rPr>
          <w:b/>
          <w:sz w:val="28"/>
        </w:rPr>
        <w:t>UNITED STATES OF AMERICA</w:t>
      </w:r>
    </w:p>
    <w:p>
      <w:pPr>
        <w:pStyle w:val="Normal"/>
        <w:tabs>
          <w:tab w:val="clear" w:pos="720"/>
          <w:tab w:val="center" w:pos="4680" w:leader="none"/>
        </w:tabs>
        <w:rPr>
          <w:b/>
          <w:sz w:val="28"/>
        </w:rPr>
      </w:pPr>
      <w:r>
        <w:rPr>
          <w:b/>
          <w:sz w:val="28"/>
        </w:rPr>
        <w:tab/>
        <w:t>BEFORE THE</w:t>
      </w:r>
    </w:p>
    <w:p>
      <w:pPr>
        <w:pStyle w:val="Normal"/>
        <w:tabs>
          <w:tab w:val="clear" w:pos="720"/>
          <w:tab w:val="center" w:pos="4680" w:leader="none"/>
        </w:tabs>
        <w:rPr>
          <w:b/>
          <w:sz w:val="28"/>
        </w:rPr>
      </w:pPr>
      <w:r>
        <w:rPr>
          <w:b/>
          <w:sz w:val="28"/>
        </w:rPr>
        <w:tab/>
        <w:t>FEDERAL ENERGY REGULATORY COMMISSION</w:t>
      </w:r>
    </w:p>
    <w:p>
      <w:pPr>
        <w:pStyle w:val="Normal"/>
        <w:rPr/>
      </w:pPr>
      <w:r>
        <w:rPr/>
      </w:r>
    </w:p>
    <w:p>
      <w:pPr>
        <w:pStyle w:val="Normal"/>
        <w:rPr/>
      </w:pPr>
      <w:r>
        <w:rPr/>
      </w:r>
    </w:p>
    <w:p>
      <w:pPr>
        <w:pStyle w:val="Normal"/>
        <w:rPr/>
      </w:pPr>
      <w:r>
        <w:rPr/>
        <w:t>____________________________________</w:t>
      </w:r>
    </w:p>
    <w:p>
      <w:pPr>
        <w:pStyle w:val="Normal"/>
        <w:ind w:firstLine="4320" w:end="0"/>
        <w:rPr/>
      </w:pPr>
      <w:r>
        <w:rPr/>
        <w:t>)</w:t>
      </w:r>
    </w:p>
    <w:p>
      <w:pPr>
        <w:pStyle w:val="Normal"/>
        <w:tabs>
          <w:tab w:val="clear" w:pos="720"/>
          <w:tab w:val="left" w:pos="-1440" w:leader="none"/>
        </w:tabs>
        <w:ind w:hanging="4320" w:start="4320" w:end="0"/>
        <w:rPr/>
      </w:pPr>
      <w:r>
        <w:rPr/>
        <w:t>San Diego Gas &amp; Electric Company</w:t>
        <w:tab/>
        <w:t>)</w:t>
      </w:r>
    </w:p>
    <w:p>
      <w:pPr>
        <w:pStyle w:val="Normal"/>
        <w:tabs>
          <w:tab w:val="clear" w:pos="720"/>
          <w:tab w:val="left" w:pos="-1440" w:leader="none"/>
        </w:tabs>
        <w:ind w:hanging="2160" w:start="4320" w:end="0"/>
        <w:rPr/>
      </w:pPr>
      <w:r>
        <w:rPr/>
        <w:t>Complainant,</w:t>
        <w:tab/>
        <w:t>)</w:t>
      </w:r>
    </w:p>
    <w:p>
      <w:pPr>
        <w:pStyle w:val="Normal"/>
        <w:tabs>
          <w:tab w:val="clear" w:pos="720"/>
          <w:tab w:val="left" w:pos="-1440" w:leader="none"/>
        </w:tabs>
        <w:ind w:hanging="2880" w:start="4320" w:end="0"/>
        <w:rPr/>
      </w:pPr>
      <w:r>
        <w:rPr/>
        <w:t>v.</w:t>
        <w:tab/>
        <w:t>)</w:t>
      </w:r>
    </w:p>
    <w:p>
      <w:pPr>
        <w:pStyle w:val="Normal"/>
        <w:tabs>
          <w:tab w:val="clear" w:pos="720"/>
          <w:tab w:val="left" w:pos="-1440" w:leader="none"/>
        </w:tabs>
        <w:ind w:hanging="4320" w:start="4320" w:end="0"/>
        <w:rPr/>
      </w:pPr>
      <w:r>
        <w:rPr/>
        <w:t>Sellers of Energy and Ancillary Services</w:t>
        <w:tab/>
        <w:t>)</w:t>
        <w:tab/>
        <w:tab/>
        <w:t>Docket No. EL00-95-012</w:t>
      </w:r>
    </w:p>
    <w:p>
      <w:pPr>
        <w:pStyle w:val="Normal"/>
        <w:tabs>
          <w:tab w:val="clear" w:pos="720"/>
          <w:tab w:val="left" w:pos="-1440" w:leader="none"/>
        </w:tabs>
        <w:ind w:hanging="4320" w:start="4320" w:end="0"/>
        <w:rPr/>
      </w:pPr>
      <w:r>
        <w:rPr/>
        <w:t xml:space="preserve">   </w:t>
      </w:r>
      <w:r>
        <w:rPr/>
        <w:t>Into Markets Operated by the California</w:t>
        <w:tab/>
        <w:t>)</w:t>
      </w:r>
    </w:p>
    <w:p>
      <w:pPr>
        <w:pStyle w:val="Normal"/>
        <w:tabs>
          <w:tab w:val="clear" w:pos="720"/>
          <w:tab w:val="left" w:pos="-1440" w:leader="none"/>
        </w:tabs>
        <w:ind w:hanging="4320" w:start="4320" w:end="0"/>
        <w:rPr/>
      </w:pPr>
      <w:r>
        <w:rPr/>
        <w:t xml:space="preserve">   </w:t>
      </w:r>
      <w:r>
        <w:rPr/>
        <w:t>Independent System Operator and the</w:t>
        <w:tab/>
        <w:t>)</w:t>
      </w:r>
    </w:p>
    <w:p>
      <w:pPr>
        <w:pStyle w:val="Normal"/>
        <w:tabs>
          <w:tab w:val="clear" w:pos="720"/>
          <w:tab w:val="left" w:pos="-1440" w:leader="none"/>
        </w:tabs>
        <w:ind w:hanging="4320" w:start="4320" w:end="0"/>
        <w:rPr/>
      </w:pPr>
      <w:r>
        <w:rPr/>
        <w:t xml:space="preserve">   </w:t>
      </w:r>
      <w:r>
        <w:rPr/>
        <w:t>California Power Exchange,</w:t>
        <w:tab/>
        <w:t>)</w:t>
      </w:r>
    </w:p>
    <w:p>
      <w:pPr>
        <w:pStyle w:val="Normal"/>
        <w:tabs>
          <w:tab w:val="clear" w:pos="720"/>
          <w:tab w:val="left" w:pos="-1440" w:leader="none"/>
        </w:tabs>
        <w:ind w:hanging="2160" w:start="4320" w:end="0"/>
        <w:rPr/>
      </w:pPr>
      <w:r>
        <w:rPr/>
        <w:t xml:space="preserve">Respondents. </w:t>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r>
      <w:r>
        <w:rPr>
          <w:b/>
          <w:sz w:val="26"/>
        </w:rPr>
        <w:t>COMMENTS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6"/>
        </w:rPr>
      </w:pPr>
      <w:r>
        <w:rPr>
          <w:b/>
          <w:sz w:val="26"/>
        </w:rPr>
        <w:t>OF ENRON POWER MARKETING,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Pursuant to the Commission's March 9, 2001, Notice of Opportunity For Comment on "Staff Recommendation on Prospective Market Monitoring And Mitigation For The California Wholesale Electric Market" issued in the above-captioned docket on March 9, 2000, Enron Power Marketing, Inc. ("EPMI"), an existing intervenor, hereby comments as follows:</w:t>
      </w:r>
      <w:r>
        <w:rPr>
          <w:rStyle w:val="FootnoteCharacters"/>
          <w:rStyle w:val="FootnoteReference"/>
          <w:vertAlign w:val="superscript"/>
        </w:rPr>
        <w:footnoteReference w:id="2"/>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rPr/>
      </w:pPr>
      <w:r>
        <w:rPr>
          <w:b/>
        </w:rPr>
        <w:tab/>
      </w:r>
      <w:r>
        <w:rPr>
          <w:b/>
          <w:sz w:val="26"/>
        </w:rPr>
        <w:t>I.</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b/>
          <w:sz w:val="26"/>
        </w:rPr>
      </w:pPr>
      <w:r>
        <w:rPr>
          <w:b/>
          <w:sz w:val="26"/>
        </w:rPr>
        <w:tab/>
        <w:t>BACKGROUND</w:t>
      </w:r>
    </w:p>
    <w:p>
      <w:pPr>
        <w:sectPr>
          <w:footnotePr>
            <w:numFmt w:val="decimal"/>
          </w:footnotePr>
          <w:type w:val="nextPage"/>
          <w:pgSz w:w="12240" w:h="15840"/>
          <w:pgMar w:left="1440" w:right="1440" w:gutter="0" w:header="0" w:top="1440" w:footer="0" w:bottom="1440"/>
          <w:pgNumType w:fmt="decimal"/>
          <w:formProt w:val="false"/>
          <w:titlePg/>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 xml:space="preserve">In its December 15 Order in this proceeding, the Commission directed its Staff to convene a technical conference to review possible prospective market monitoring and mitigation approaches for the California market and to propose recommendations to the Commission.  </w:t>
      </w:r>
      <w:r>
        <w:rPr>
          <w:i/>
        </w:rPr>
        <w:t>San Diego Gas &amp; Electric Company  v. Sellers of Energy and Ancillary Services Into Markets Operated by the California Independent System Operator and the California Power Exchange</w:t>
      </w:r>
      <w:r>
        <w:rPr/>
        <w:t xml:space="preserve">, 93 FERC </w:t>
      </w:r>
      <w:r>
        <w:rPr>
          <w:rFonts w:cs="WP TypographicSymbols" w:ascii="WP TypographicSymbols" w:hAnsi="WP TypographicSymbols"/>
        </w:rPr>
        <w:t>&amp;</w:t>
      </w:r>
      <w:r>
        <w:rPr/>
        <w:t xml:space="preserve">  61,294 (2000)("</w:t>
      </w:r>
      <w:r>
        <w:rPr>
          <w:i/>
        </w:rPr>
        <w:t>December 15 Order</w:t>
      </w:r>
      <w:r>
        <w:rPr/>
        <w:t xml:space="preserve">"). In response to that directive, Staff recommends the following measures: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720"/>
        <w:rPr/>
      </w:pPr>
      <w:r>
        <w:rPr/>
        <w:t xml:space="preserve">(1) </w:t>
        <w:tab/>
      </w:r>
      <w:r>
        <w:rPr>
          <w:u w:val="single"/>
        </w:rPr>
        <w:t>Coordinating and Controlling Outages</w:t>
      </w:r>
      <w:r>
        <w:rPr/>
        <w:t xml:space="preserve">.  All planned outages by units that  have signed a Participating Generator Agreement ("PGA") with the California Independent System Operator ("ISO") should be coordinated with, and approved by, the ISO.  Unplanned outages should be closely monitored by the ISO and questionable outages should be reported immediately to the Commission for further investigation by the Commission.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u w:val="single"/>
        </w:rPr>
        <w:t>Selling Obligations</w:t>
      </w:r>
      <w:r>
        <w:rPr>
          <w:rFonts w:cs="Times New Roman" w:ascii="Times New Roman" w:hAnsi="Times New Roman"/>
        </w:rPr>
        <w:t xml:space="preserve">.  Sellers with PGAs should be required to offer all their capacity to the ISO in real time if it is available and not scheduled to run.  Load Serving Entities should be required to state the price at which they will curtail their loads, and to identify which loads will be curtailed.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u w:val="single"/>
        </w:rPr>
        <w:t>Price Mitigation</w:t>
      </w:r>
      <w:r>
        <w:rPr>
          <w:rFonts w:cs="Times New Roman" w:ascii="Times New Roman" w:hAnsi="Times New Roman"/>
        </w:rPr>
        <w:t>.  When called upon to provide available (unscheduled) capacity in real time, PGA units would be price mitigated only in those hours when there is a reserve deficiency (</w:t>
      </w:r>
      <w:r>
        <w:rPr>
          <w:rFonts w:cs="Times New Roman" w:ascii="Times New Roman" w:hAnsi="Times New Roman"/>
          <w:i/>
        </w:rPr>
        <w:t>e.g.</w:t>
      </w:r>
      <w:r>
        <w:rPr>
          <w:rFonts w:cs="Times New Roman" w:ascii="Times New Roman" w:hAnsi="Times New Roman"/>
        </w:rPr>
        <w:t xml:space="preserve">, Stage 3).  During these hours, all PGA units obligated to sell capacity in real time would be paid the marginal cost of the highest-priced PGA unit called upon to run.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u w:val="single"/>
        </w:rPr>
        <w:t>Real-time Price Mitigation for Each Generating Unit</w:t>
      </w:r>
      <w:r>
        <w:rPr>
          <w:rFonts w:cs="Times New Roman" w:ascii="Times New Roman" w:hAnsi="Times New Roman"/>
        </w:rPr>
        <w:t xml:space="preserve">.  Each generating unit should be required to have a standing, confidential price based on its marginal costs, to be used by the ISO to establish the real-time market clearing price when mitigation is appropriate.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u w:val="single"/>
        </w:rPr>
        <w:t>A Market Clearing Price</w:t>
      </w:r>
      <w:r>
        <w:rPr>
          <w:rFonts w:cs="Times New Roman" w:ascii="Times New Roman" w:hAnsi="Times New Roman"/>
        </w:rPr>
        <w:t xml:space="preserve">.  All energy offers that are accepted in the real-time market should be paid the applicable market clearing price.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rPr>
      </w:r>
    </w:p>
    <w:p>
      <w:pPr>
        <w:pStyle w:val="Level1"/>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u w:val="single"/>
        </w:rPr>
        <w:t>Conditions for Invoking Mitigation</w:t>
      </w:r>
      <w:r>
        <w:rPr>
          <w:rFonts w:cs="Times New Roman" w:ascii="Times New Roman" w:hAnsi="Times New Roman"/>
        </w:rPr>
        <w:t>.  Mitigation should be restricted to critical operating periods, such as emergencies when reserves are scarce and load must be reduced.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 xml:space="preserve">Staff also provides a possible alternative approach that relies more on constraints in the bilateral market for a prescribed period of time, while leaving the spot market unconstrained to respond to shortages.  </w:t>
      </w:r>
    </w:p>
    <w:p>
      <w:pPr>
        <w:sectPr>
          <w:footnotePr>
            <w:numFmt w:val="decimal"/>
          </w:footnotePr>
          <w:type w:val="continuous"/>
          <w:pgSz w:w="12240" w:h="15840"/>
          <w:pgMar w:left="1440" w:right="1440" w:gutter="0" w:header="0" w:top="1440" w:footer="0" w:bottom="1440"/>
          <w:formProt w:val="false"/>
          <w:titlePg/>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Staff recommends that a date-certain "sunset" of no more than one year for the mitigation approach be established in order to provide regulatory certainty for market participants.  Regardless of the approach ultimately adopted by the Commission to mitigate prices, Staff concludes that regulatory certainty is required in order to promote infrastructure investments in California and the West.</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rPr/>
      </w:pPr>
      <w:r>
        <w:rPr/>
        <w:tab/>
      </w:r>
      <w:r>
        <w:rPr>
          <w:b/>
          <w:sz w:val="26"/>
        </w:rPr>
        <w:t>II.</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6"/>
        </w:rPr>
      </w:pPr>
      <w:r>
        <w:rPr>
          <w:b/>
          <w:sz w:val="26"/>
        </w:rPr>
        <w:tab/>
        <w:t>COMMENTS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 xml:space="preserve">The Staff Report defines opportunity cost as "measured as the foregone revenue from other markets in which the owner could have participated."  </w:t>
      </w:r>
      <w:r>
        <w:rPr>
          <w:i/>
        </w:rPr>
        <w:t>Staff Report</w:t>
      </w:r>
      <w:r>
        <w:rPr/>
        <w:t xml:space="preserve"> at 12.  The Western Interconnection, however, is different than the rest of the country because nearly 40% of capacity in the system is supplied by hydroelectric power.</w:t>
      </w:r>
      <w:r>
        <w:rPr>
          <w:rStyle w:val="FootnoteCharacters"/>
          <w:rStyle w:val="FootnoteReference"/>
          <w:vertAlign w:val="superscript"/>
        </w:rPr>
        <w:footnoteReference w:id="3"/>
      </w:r>
      <w:r>
        <w:rPr/>
        <w:t xml:space="preserve">  Unlike other electricity generating resources, many hydroelectric power sources can store their fuel for weeks or months.</w:t>
      </w:r>
      <w:r>
        <w:rPr>
          <w:rStyle w:val="FootnoteCharacters"/>
          <w:rStyle w:val="FootnoteReference"/>
          <w:vertAlign w:val="superscript"/>
        </w:rPr>
        <w:footnoteReference w:id="4"/>
      </w:r>
      <w:r>
        <w:rPr/>
        <w:t xml:space="preserve">  Opportunity cost in the West thus has both a geographic and temporal component.  Unfortunately, the Staff Report fails to recognize the temporal dimension.  The report states: "If, however, the owner is bidding in a real-time market, opportunities to sell in other markets generally no longer exist."  This is simply not true as the decision to sell in any period, even a real-time hour, are affected by supply-demand conditions that span the entire season or year.  Other energy limited resources, such as thermal plants with seasonal limits on emissions, also contribute to the temporal dimension of opportunity costs.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The importance of energy limited resources and its impact on market prices is particularly pronounced this year.  As shown by the following chart, which provides data related to hydroelectric conditions in the West (in particular, the volume runoff percent of normal),</w:t>
      </w:r>
      <w:r>
        <w:rPr>
          <w:rStyle w:val="FootnoteCharacters"/>
          <w:rStyle w:val="FootnoteReference"/>
          <w:vertAlign w:val="superscript"/>
        </w:rPr>
        <w:footnoteReference w:id="5"/>
      </w:r>
      <w:r>
        <w:rPr/>
        <w:t xml:space="preserve"> the Pacific Northwest is presently experiencing record drought conditions.</w:t>
      </w:r>
    </w:p>
    <w:p>
      <w:pPr>
        <w:sectPr>
          <w:footnotePr>
            <w:numFmt w:val="decimal"/>
          </w:footnotePr>
          <w:type w:val="continuous"/>
          <w:pgSz w:w="12240" w:h="15840"/>
          <w:pgMar w:left="1440" w:right="1440" w:gutter="0" w:header="0" w:top="1440" w:footer="0" w:bottom="1440"/>
          <w:formProt w:val="false"/>
          <w:titlePg/>
          <w:textDirection w:val="lrTb"/>
          <w:docGrid w:type="default" w:linePitch="360" w:charSpace="0"/>
        </w:sectPr>
      </w:pPr>
    </w:p>
    <w:tbl>
      <w:tblPr>
        <w:tblW w:w="5760" w:type="dxa"/>
        <w:jc w:val="center"/>
        <w:tblInd w:w="0" w:type="dxa"/>
        <w:tblLayout w:type="fixed"/>
        <w:tblCellMar>
          <w:top w:w="0" w:type="dxa"/>
          <w:start w:w="30" w:type="dxa"/>
          <w:bottom w:w="0" w:type="dxa"/>
          <w:end w:w="30" w:type="dxa"/>
        </w:tblCellMar>
      </w:tblPr>
      <w:tblGrid>
        <w:gridCol w:w="2790"/>
        <w:gridCol w:w="2970"/>
      </w:tblGrid>
      <w:tr>
        <w:trPr/>
        <w:tc>
          <w:tcPr>
            <w:tcW w:w="2790" w:type="dxa"/>
            <w:tcBorders>
              <w:top w:val="single" w:sz="6" w:space="0" w:color="FFFFFF"/>
              <w:start w:val="single" w:sz="6" w:space="0" w:color="FFFFFF"/>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center"/>
              <w:rPr>
                <w:rFonts w:ascii="Arial" w:hAnsi="Arial" w:cs="Arial"/>
                <w:sz w:val="28"/>
              </w:rPr>
            </w:pPr>
            <w:r>
              <w:rPr>
                <w:rFonts w:cs="Arial" w:ascii="Arial" w:hAnsi="Arial"/>
                <w:sz w:val="28"/>
              </w:rPr>
              <w:t>Year</w:t>
            </w:r>
          </w:p>
        </w:tc>
        <w:tc>
          <w:tcPr>
            <w:tcW w:w="2970" w:type="dxa"/>
            <w:tcBorders>
              <w:top w:val="single" w:sz="6" w:space="0" w:color="FFFFFF"/>
              <w:start w:val="single" w:sz="6" w:space="0" w:color="FFFFFF"/>
              <w:bottom w:val="single" w:sz="6" w:space="0" w:color="FFFFFF"/>
              <w:end w:val="single" w:sz="6" w:space="0" w:color="FFFFFF"/>
            </w:tcBorders>
          </w:tcPr>
          <w:p>
            <w:pPr>
              <w:pStyle w:val="Normal"/>
              <w:tabs>
                <w:tab w:val="clear" w:pos="720"/>
                <w:tab w:val="center" w:pos="1455"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rFonts w:ascii="Arial" w:hAnsi="Arial" w:cs="Arial"/>
                <w:sz w:val="28"/>
              </w:rPr>
            </w:pPr>
            <w:r>
              <w:rPr>
                <w:rFonts w:cs="Arial" w:ascii="Arial" w:hAnsi="Arial"/>
                <w:sz w:val="28"/>
              </w:rPr>
              <w:tab/>
              <w:t>Pacific Northwest Columbia River Flows</w:t>
            </w:r>
          </w:p>
        </w:tc>
      </w:tr>
      <w:tr>
        <w:trPr/>
        <w:tc>
          <w:tcPr>
            <w:tcW w:w="2790" w:type="dxa"/>
            <w:tcBorders>
              <w:top w:val="single" w:sz="6" w:space="0" w:color="FFFFFF"/>
              <w:start w:val="single" w:sz="6" w:space="0" w:color="FFFFFF"/>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center"/>
              <w:rPr>
                <w:rFonts w:ascii="Arial" w:hAnsi="Arial" w:cs="Arial"/>
                <w:sz w:val="28"/>
              </w:rPr>
            </w:pPr>
            <w:r>
              <w:rPr>
                <w:rFonts w:cs="Arial" w:ascii="Arial" w:hAnsi="Arial"/>
                <w:sz w:val="28"/>
              </w:rPr>
              <w:t xml:space="preserve">2001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center"/>
              <w:rPr>
                <w:rFonts w:ascii="Arial" w:hAnsi="Arial" w:cs="Arial"/>
                <w:sz w:val="28"/>
              </w:rPr>
            </w:pPr>
            <w:r>
              <w:rPr>
                <w:rFonts w:cs="Arial" w:ascii="Arial" w:hAnsi="Arial"/>
                <w:sz w:val="28"/>
              </w:rPr>
              <w:t>(as of March 2001)</w:t>
            </w:r>
          </w:p>
        </w:tc>
        <w:tc>
          <w:tcPr>
            <w:tcW w:w="2970" w:type="dxa"/>
            <w:tcBorders>
              <w:top w:val="single" w:sz="6" w:space="0" w:color="FFFFFF"/>
              <w:start w:val="single" w:sz="6" w:space="0" w:color="FFFFFF"/>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center"/>
              <w:rPr>
                <w:rFonts w:ascii="Arial" w:hAnsi="Arial" w:cs="Arial"/>
                <w:sz w:val="28"/>
              </w:rPr>
            </w:pPr>
            <w:r>
              <w:rPr>
                <w:rFonts w:cs="Arial" w:ascii="Arial" w:hAnsi="Arial"/>
                <w:sz w:val="28"/>
              </w:rPr>
              <w:t>55%</w:t>
            </w:r>
          </w:p>
        </w:tc>
      </w:tr>
      <w:tr>
        <w:trPr>
          <w:trHeight w:val="348" w:hRule="exact"/>
        </w:trPr>
        <w:tc>
          <w:tcPr>
            <w:tcW w:w="2790" w:type="dxa"/>
            <w:tcBorders>
              <w:top w:val="single" w:sz="6" w:space="0" w:color="FFFFFF"/>
              <w:start w:val="single" w:sz="6" w:space="0" w:color="FFFFFF"/>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center"/>
              <w:rPr>
                <w:rFonts w:ascii="Arial" w:hAnsi="Arial" w:cs="Arial"/>
                <w:sz w:val="28"/>
              </w:rPr>
            </w:pPr>
            <w:r>
              <w:rPr>
                <w:rFonts w:cs="Arial" w:ascii="Arial" w:hAnsi="Arial"/>
                <w:sz w:val="28"/>
              </w:rPr>
              <w:t>2000</w:t>
            </w:r>
          </w:p>
        </w:tc>
        <w:tc>
          <w:tcPr>
            <w:tcW w:w="2970" w:type="dxa"/>
            <w:tcBorders>
              <w:top w:val="single" w:sz="6" w:space="0" w:color="FFFFFF"/>
              <w:start w:val="single" w:sz="6" w:space="0" w:color="FFFFFF"/>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center"/>
              <w:rPr>
                <w:rFonts w:ascii="Arial" w:hAnsi="Arial" w:cs="Arial"/>
                <w:sz w:val="28"/>
              </w:rPr>
            </w:pPr>
            <w:r>
              <w:rPr>
                <w:rFonts w:cs="Arial" w:ascii="Arial" w:hAnsi="Arial"/>
                <w:sz w:val="28"/>
              </w:rPr>
              <w:t>93%</w:t>
            </w:r>
          </w:p>
        </w:tc>
      </w:tr>
      <w:tr>
        <w:trPr>
          <w:trHeight w:val="348" w:hRule="exact"/>
        </w:trPr>
        <w:tc>
          <w:tcPr>
            <w:tcW w:w="2790" w:type="dxa"/>
            <w:tcBorders>
              <w:top w:val="single" w:sz="6" w:space="0" w:color="FFFFFF"/>
              <w:start w:val="single" w:sz="6" w:space="0" w:color="FFFFFF"/>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center"/>
              <w:rPr>
                <w:rFonts w:ascii="Arial" w:hAnsi="Arial" w:cs="Arial"/>
                <w:sz w:val="28"/>
              </w:rPr>
            </w:pPr>
            <w:r>
              <w:rPr>
                <w:rFonts w:cs="Arial" w:ascii="Arial" w:hAnsi="Arial"/>
                <w:sz w:val="28"/>
              </w:rPr>
              <w:t>1999</w:t>
            </w:r>
          </w:p>
        </w:tc>
        <w:tc>
          <w:tcPr>
            <w:tcW w:w="2970" w:type="dxa"/>
            <w:tcBorders>
              <w:top w:val="single" w:sz="6" w:space="0" w:color="FFFFFF"/>
              <w:start w:val="single" w:sz="6" w:space="0" w:color="FFFFFF"/>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center"/>
              <w:rPr>
                <w:rFonts w:ascii="Arial" w:hAnsi="Arial" w:cs="Arial"/>
                <w:sz w:val="28"/>
              </w:rPr>
            </w:pPr>
            <w:r>
              <w:rPr>
                <w:rFonts w:cs="Arial" w:ascii="Arial" w:hAnsi="Arial"/>
                <w:sz w:val="28"/>
              </w:rPr>
              <w:t>116%</w:t>
            </w:r>
          </w:p>
        </w:tc>
      </w:tr>
      <w:tr>
        <w:trPr>
          <w:trHeight w:val="348" w:hRule="exact"/>
        </w:trPr>
        <w:tc>
          <w:tcPr>
            <w:tcW w:w="2790" w:type="dxa"/>
            <w:tcBorders>
              <w:top w:val="single" w:sz="6" w:space="0" w:color="FFFFFF"/>
              <w:start w:val="single" w:sz="6" w:space="0" w:color="FFFFFF"/>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center"/>
              <w:rPr>
                <w:rFonts w:ascii="Arial" w:hAnsi="Arial" w:cs="Arial"/>
                <w:sz w:val="28"/>
              </w:rPr>
            </w:pPr>
            <w:r>
              <w:rPr>
                <w:rFonts w:cs="Arial" w:ascii="Arial" w:hAnsi="Arial"/>
                <w:sz w:val="28"/>
              </w:rPr>
              <w:t>1998</w:t>
            </w:r>
          </w:p>
        </w:tc>
        <w:tc>
          <w:tcPr>
            <w:tcW w:w="2970" w:type="dxa"/>
            <w:tcBorders>
              <w:top w:val="single" w:sz="6" w:space="0" w:color="FFFFFF"/>
              <w:start w:val="single" w:sz="6" w:space="0" w:color="FFFFFF"/>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center"/>
              <w:rPr>
                <w:rFonts w:ascii="Arial" w:hAnsi="Arial" w:cs="Arial"/>
                <w:sz w:val="28"/>
              </w:rPr>
            </w:pPr>
            <w:r>
              <w:rPr>
                <w:rFonts w:cs="Arial" w:ascii="Arial" w:hAnsi="Arial"/>
                <w:sz w:val="28"/>
              </w:rPr>
              <w:t>98%</w:t>
            </w:r>
          </w:p>
        </w:tc>
      </w:tr>
      <w:tr>
        <w:trPr>
          <w:trHeight w:val="348" w:hRule="exact"/>
        </w:trPr>
        <w:tc>
          <w:tcPr>
            <w:tcW w:w="2790" w:type="dxa"/>
            <w:tcBorders>
              <w:top w:val="single" w:sz="6" w:space="0" w:color="FFFFFF"/>
              <w:start w:val="single" w:sz="6" w:space="0" w:color="FFFFFF"/>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center"/>
              <w:rPr>
                <w:rFonts w:ascii="Arial" w:hAnsi="Arial" w:cs="Arial"/>
                <w:sz w:val="28"/>
              </w:rPr>
            </w:pPr>
            <w:r>
              <w:rPr>
                <w:rFonts w:cs="Arial" w:ascii="Arial" w:hAnsi="Arial"/>
                <w:sz w:val="28"/>
              </w:rPr>
              <w:t>1997</w:t>
            </w:r>
          </w:p>
        </w:tc>
        <w:tc>
          <w:tcPr>
            <w:tcW w:w="2970" w:type="dxa"/>
            <w:tcBorders>
              <w:top w:val="single" w:sz="6" w:space="0" w:color="FFFFFF"/>
              <w:start w:val="single" w:sz="6" w:space="0" w:color="FFFFFF"/>
              <w:bottom w:val="single" w:sz="6" w:space="0" w:color="FFFFFF"/>
              <w:end w:val="single" w:sz="6" w:space="0" w:color="FFFFFF"/>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center"/>
              <w:rPr>
                <w:rFonts w:ascii="Arial" w:hAnsi="Arial" w:cs="Arial"/>
                <w:sz w:val="28"/>
              </w:rPr>
            </w:pPr>
            <w:r>
              <w:rPr>
                <w:rFonts w:cs="Arial" w:ascii="Arial" w:hAnsi="Arial"/>
                <w:sz w:val="28"/>
              </w:rPr>
              <w:t>152%</w:t>
            </w:r>
          </w:p>
        </w:tc>
      </w:tr>
      <w:tr>
        <w:trPr>
          <w:trHeight w:val="348" w:hRule="exact"/>
        </w:trPr>
        <w:tc>
          <w:tcPr>
            <w:tcW w:w="2790" w:type="dxa"/>
            <w:tcBorders>
              <w:top w:val="single" w:sz="6" w:space="0" w:color="FFFFFF"/>
              <w:start w:val="single" w:sz="6" w:space="0" w:color="FFFFFF"/>
              <w:bottom w:val="single" w:sz="6" w:space="0" w:color="FFFFFF"/>
              <w:end w:val="single" w:sz="6" w:space="0" w:color="FFFFFF"/>
            </w:tcBorders>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center"/>
              <w:rPr>
                <w:rFonts w:ascii="Arial" w:hAnsi="Arial" w:cs="Arial"/>
                <w:sz w:val="28"/>
              </w:rPr>
            </w:pPr>
            <w:r>
              <w:rPr>
                <w:rFonts w:cs="Arial" w:ascii="Arial" w:hAnsi="Arial"/>
                <w:sz w:val="28"/>
              </w:rPr>
              <w:t>1996</w:t>
            </w:r>
          </w:p>
        </w:tc>
        <w:tc>
          <w:tcPr>
            <w:tcW w:w="2970" w:type="dxa"/>
            <w:tcBorders>
              <w:top w:val="single" w:sz="6" w:space="0" w:color="FFFFFF"/>
              <w:start w:val="single" w:sz="6" w:space="0" w:color="FFFFFF"/>
              <w:bottom w:val="single" w:sz="6" w:space="0" w:color="FFFFFF"/>
              <w:end w:val="single" w:sz="6" w:space="0" w:color="FFFFFF"/>
            </w:tcBorders>
          </w:tcPr>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center"/>
              <w:rPr>
                <w:rFonts w:ascii="Arial" w:hAnsi="Arial" w:cs="Arial"/>
                <w:sz w:val="28"/>
              </w:rPr>
            </w:pPr>
            <w:r>
              <w:rPr>
                <w:rFonts w:cs="Arial" w:ascii="Arial" w:hAnsi="Arial"/>
                <w:sz w:val="28"/>
              </w:rPr>
              <w:t>138%</w:t>
            </w:r>
          </w:p>
        </w:tc>
      </w:tr>
    </w:tbl>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 xml:space="preserve">As a result of these conditions, the state of Washington, on March 14, 2001, declared a statewide drought emergency.  The extreme nature of the drought is graphically shown by the following chart, which shows that current estimates are that river flows in the State this year will be approximately 55% of normal and that approximately 4,000 to 6,000 aMW will be unavailable this summer due to U.S. PNW hydro considerations alone: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rFonts w:ascii="Arial" w:hAnsi="Arial" w:cs="Arial"/>
          <w:sz w:val="28"/>
        </w:rPr>
      </w:pPr>
      <w:r>
        <w:rPr>
          <w:rFonts w:cs="Arial" w:ascii="Arial" w:hAnsi="Arial"/>
          <w:sz w:val="28"/>
        </w:rPr>
      </w:r>
    </w:p>
    <w:p>
      <w:pPr>
        <w:sectPr>
          <w:footnotePr>
            <w:numFmt w:val="decimal"/>
          </w:footnotePr>
          <w:type w:val="continuous"/>
          <w:pgSz w:w="12240" w:h="15840"/>
          <w:pgMar w:left="1440" w:right="1440" w:gutter="0" w:header="0" w:top="1440" w:footer="0" w:bottom="1440"/>
          <w:formProt w:val="false"/>
          <w:titlePg/>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rPr/>
      </w:pPr>
      <w:r>
        <w:rPr/>
        <w:t xml:space="preserve">The current water levels, as shown on this chart, are close to the lowest level on record.  </w:t>
      </w:r>
      <w:r>
        <mc:AlternateContent>
          <mc:Choice Requires="wps">
            <w:drawing>
              <wp:anchor behindDoc="0" distT="0" distB="0" distL="114300" distR="114300" simplePos="0" locked="0" layoutInCell="0" allowOverlap="1" relativeHeight="2">
                <wp:simplePos x="0" y="0"/>
                <wp:positionH relativeFrom="margin">
                  <wp:posOffset>-283210</wp:posOffset>
                </wp:positionH>
                <wp:positionV relativeFrom="paragraph">
                  <wp:posOffset>324485</wp:posOffset>
                </wp:positionV>
                <wp:extent cx="5779770" cy="4558030"/>
                <wp:effectExtent l="0" t="0" r="0" b="0"/>
                <wp:wrapTopAndBottom/>
                <wp:docPr id="1" name="Frame1"/>
                <a:graphic xmlns:a="http://schemas.openxmlformats.org/drawingml/2006/main">
                  <a:graphicData uri="http://schemas.microsoft.com/office/word/2010/wordprocessingShape">
                    <wps:wsp>
                      <wps:cNvSpPr txBox="1"/>
                      <wps:spPr>
                        <a:xfrm>
                          <a:off x="0" y="0"/>
                          <a:ext cx="5779770" cy="4558030"/>
                        </a:xfrm>
                        <a:prstGeom prst="rect"/>
                        <a:solidFill>
                          <a:srgbClr val="FFFFFF">
                            <a:alpha val="0"/>
                          </a:srgbClr>
                        </a:solidFill>
                      </wps:spPr>
                      <wps:txbx>
                        <w:txbxContent>
                          <w:p>
                            <w:pPr>
                              <w:pStyle w:val="Normal"/>
                              <w:shd w:fill="FFFFFF" w:val="clear"/>
                              <w:rPr>
                                <w:sz w:val="20"/>
                              </w:rPr>
                            </w:pPr>
                            <w:r>
                              <w:rPr>
                                <w:sz w:val="20"/>
                              </w:rPr>
                              <w:drawing>
                                <wp:inline distT="0" distB="0" distL="0" distR="0">
                                  <wp:extent cx="5760720" cy="445262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4" t="-748" r="-4" b="-748"/>
                                          <a:stretch>
                                            <a:fillRect/>
                                          </a:stretch>
                                        </pic:blipFill>
                                        <pic:spPr bwMode="auto">
                                          <a:xfrm>
                                            <a:off x="0" y="0"/>
                                            <a:ext cx="5760720" cy="44526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455.1pt;height:358.9pt;mso-wrap-distance-left:9pt;mso-wrap-distance-right:9pt;mso-wrap-distance-top:0pt;mso-wrap-distance-bottom:0pt;margin-top:25.55pt;mso-position-vertical-relative:text;margin-left:-22.3pt;mso-position-horizontal-relative:margin">
                <v:fill opacity="0f"/>
                <v:textbox inset="0in,0in,0in,0in">
                  <w:txbxContent>
                    <w:p>
                      <w:pPr>
                        <w:pStyle w:val="Normal"/>
                        <w:shd w:fill="FFFFFF" w:val="clear"/>
                        <w:rPr>
                          <w:sz w:val="20"/>
                        </w:rPr>
                      </w:pPr>
                      <w:r>
                        <w:rPr>
                          <w:sz w:val="20"/>
                        </w:rPr>
                        <w:drawing>
                          <wp:inline distT="0" distB="0" distL="0" distR="0">
                            <wp:extent cx="5760720" cy="445262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4" t="-748" r="-4" b="-748"/>
                                    <a:stretch>
                                      <a:fillRect/>
                                    </a:stretch>
                                  </pic:blipFill>
                                  <pic:spPr bwMode="auto">
                                    <a:xfrm>
                                      <a:off x="0" y="0"/>
                                      <a:ext cx="5760720" cy="4452620"/>
                                    </a:xfrm>
                                    <a:prstGeom prst="rect">
                                      <a:avLst/>
                                    </a:prstGeom>
                                    <a:noFill/>
                                  </pic:spPr>
                                </pic:pic>
                              </a:graphicData>
                            </a:graphic>
                          </wp:inline>
                        </w:drawing>
                      </w:r>
                    </w:p>
                  </w:txbxContent>
                </v:textbox>
                <w10:wrap type="topAndBottom"/>
              </v:rect>
            </w:pict>
          </mc:Fallback>
        </mc:AlternateContent>
      </w:r>
    </w:p>
    <w:p>
      <w:pPr>
        <w:sectPr>
          <w:footnotePr>
            <w:numFmt w:val="decimal"/>
          </w:footnotePr>
          <w:type w:val="continuous"/>
          <w:pgSz w:w="12240" w:h="15840"/>
          <w:pgMar w:left="1440" w:right="1440" w:gutter="0" w:header="0" w:top="1440" w:footer="0" w:bottom="1440"/>
          <w:formProt w:val="false"/>
          <w:titlePg/>
          <w:textDirection w:val="lrTb"/>
          <w:docGrid w:type="default" w:linePitch="360" w:charSpace="0"/>
        </w:sectPr>
      </w:pP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 xml:space="preserve">Given that a significant portion of the Pacific Northwest hydroelectric system can store water across months, the price of hydroelectricity in a particular hour will </w:t>
      </w:r>
      <w:r>
        <w:rPr>
          <w:i/>
        </w:rPr>
        <w:t>not</w:t>
      </w:r>
      <w:r>
        <w:rPr/>
        <w:t xml:space="preserve"> be set at the variable operating cost of any unit running in that hour.  Instead, it will be set at the present value of its forward price.   For example, during a winter, market participants form expectations regarding the cost of electricity in the upcoming summer.  If a supplier holds rights to a MWh of output from a hydroelectric resource, it has the choice of consuming the resource now or during the summer.  A rational market supplier would price the resource for sale during the winter based on the summer price, adjusted for the time-value of money.  At any lower price, the supplier would rationally keep the MWh stored for later use.  Given the tight summer expected this summer, it follows that prices during this winter were elevated relative to historical levels.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 xml:space="preserve">EPMI emphasizes the role that energy-limited resources have on opportunity costs.  Ignoring them will lead to claims of "economic" withholding when no such withholding has occurred.  The staff report claims that economic withholding can be detected "by comparing the bids offered by owners of generating units with the marginal production cost and marginal opportunity costs of the units."  As described above, however, any measure of opportunity costs must take the future value of the energy into account.  Thus, high market bids may not reflect any sort of withholding but simply the future value of the resource.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b/>
        </w:rPr>
        <w:tab/>
      </w:r>
      <w:r>
        <w:rPr>
          <w:b/>
          <w:sz w:val="26"/>
        </w:rPr>
        <w:t>III.</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6"/>
        </w:rPr>
      </w:pPr>
      <w:r>
        <w:rPr>
          <w:b/>
          <w:sz w:val="26"/>
        </w:rPr>
        <w:tab/>
        <w:t>CONCLUSION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rPr/>
      </w:pPr>
      <w:r>
        <w:rPr/>
        <w:t>For the foregoing reasons, EPMI urges the Commission to fully consider these effects in its response to Staff's report and in the monitoring and mitigation measures that it adopts.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pPr>
      <w:r>
        <w:rPr/>
        <w:t>Respectfully submitted,</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pPr>
      <w:r>
        <w:rPr/>
        <w:t>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pPr>
      <w:r>
        <w:rPr/>
        <w:t>Ronald N. Carroll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pPr>
      <w:r>
        <w:rPr/>
        <w:t>Aryeh B. Fishman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pPr>
      <w:r>
        <w:rPr/>
        <w:t>Bracewell &amp; Patterson, L.L.P.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pPr>
      <w:r>
        <w:rPr/>
        <w:t>2000 K Street, N.W., Suite 500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pPr>
      <w:r>
        <w:rPr/>
        <w:t>Washington, DC   20006-1872</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pPr>
      <w:r>
        <w:rPr/>
        <w:t>(202) 828-5800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pPr>
      <w:r>
        <w:rPr/>
        <w:t>Counsel for Enron Power Marketing, Inc.</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March 22, 2001</w:t>
      </w:r>
    </w:p>
    <w:p>
      <w:pPr>
        <w:sectPr>
          <w:footnotePr>
            <w:numFmt w:val="decimal"/>
          </w:footnotePr>
          <w:type w:val="continuous"/>
          <w:pgSz w:w="12240" w:h="15840"/>
          <w:pgMar w:left="1440" w:right="1440" w:gutter="0" w:header="0" w:top="1440" w:footer="0" w:bottom="1440"/>
          <w:formProt w:val="false"/>
          <w:titlePg/>
          <w:textDirection w:val="lrTb"/>
          <w:docGrid w:type="default" w:linePitch="360" w:charSpace="0"/>
        </w:sectPr>
      </w:pP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tab/>
        <w:t>CERTIFICATE OF SERVICE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pPr>
      <w:r>
        <w:rPr/>
        <w:t>Dated at Washington, D.C., this 22nd day of March 2001.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rPr/>
      </w:pPr>
      <w:r>
        <w:rPr/>
        <w:t>__________________________________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rPr/>
      </w:pPr>
      <w:r>
        <w:rPr/>
        <w:t xml:space="preserve">  </w:t>
      </w:r>
      <w:r>
        <w:rPr/>
        <w:t>Aryeh B. Fishman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18"/>
        </w:rPr>
      </w:pPr>
      <w:r>
        <w:rPr>
          <w:sz w:val="18"/>
        </w:rPr>
        <w:t>139883</w:t>
      </w:r>
    </w:p>
    <w:p>
      <w:pPr>
        <w:pStyle w:val="Normal"/>
        <w:rPr/>
      </w:pPr>
      <w:r>
        <w:rPr/>
      </w:r>
    </w:p>
    <w:sectPr>
      <w:footerReference w:type="default" r:id="rId4"/>
      <w:footerReference w:type="first" r:id="rId5"/>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0</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t xml:space="preserve"> </w:t>
      </w:r>
      <w:r>
        <w:rPr>
          <w:sz w:val="22"/>
        </w:rPr>
        <w:t>EPMI supports the comments of EPSA and WPTF on Staff's Recommendations, and incorporates them as its own.  In addition to those comments, EPMI submits the following comments on the role energy limited resources have in determining opportunity costs and market prices.</w:t>
      </w:r>
    </w:p>
  </w:footnote>
  <w:footnote w:id="3">
    <w:p>
      <w:pPr>
        <w:pStyle w:val="Normal"/>
        <w:spacing w:before="0" w:after="240"/>
        <w:ind w:firstLine="720" w:end="0"/>
        <w:rPr/>
      </w:pPr>
      <w:r>
        <w:rPr>
          <w:rStyle w:val="FootnoteCharacters"/>
        </w:rPr>
        <w:footnoteRef/>
      </w:r>
      <w:r>
        <w:rPr>
          <w:sz w:val="22"/>
        </w:rPr>
        <w:t xml:space="preserve"> </w:t>
      </w:r>
      <w:r>
        <w:rPr>
          <w:sz w:val="22"/>
        </w:rPr>
        <w:t>Source: Western Systems Coordinating Council, 1999.</w:t>
      </w:r>
    </w:p>
  </w:footnote>
  <w:footnote w:id="4">
    <w:p>
      <w:pPr>
        <w:pStyle w:val="Normal"/>
        <w:spacing w:before="0" w:after="240"/>
        <w:ind w:firstLine="720" w:end="0"/>
        <w:rPr/>
      </w:pPr>
      <w:r>
        <w:rPr>
          <w:rStyle w:val="FootnoteCharacters"/>
        </w:rPr>
        <w:footnoteRef/>
      </w:r>
      <w:r>
        <w:rPr>
          <w:sz w:val="22"/>
        </w:rPr>
        <w:t xml:space="preserve"> </w:t>
      </w:r>
      <w:r>
        <w:rPr>
          <w:sz w:val="22"/>
        </w:rPr>
        <w:t>In British Columbia, BC Hydro can store water across years.  As a result, opportunity costs in the Western Interconnection are ultimately determined by supply/demand conditions over multiple years.</w:t>
      </w:r>
    </w:p>
  </w:footnote>
  <w:footnote w:id="5">
    <w:p>
      <w:pPr>
        <w:pStyle w:val="Normal"/>
        <w:spacing w:before="0" w:after="240"/>
        <w:ind w:firstLine="720" w:end="0"/>
        <w:rPr/>
      </w:pPr>
      <w:r>
        <w:rPr>
          <w:rStyle w:val="FootnoteCharacters"/>
        </w:rPr>
        <w:footnoteRef/>
      </w:r>
      <w:r>
        <w:rPr>
          <w:sz w:val="22"/>
        </w:rPr>
        <w:t xml:space="preserve"> </w:t>
      </w:r>
      <w:r>
        <w:rPr>
          <w:sz w:val="22"/>
        </w:rPr>
        <w:t>Source: Northwest Rivers Forecast Center</w:t>
      </w:r>
      <w:r>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0"/>
        </w:tabs>
        <w:ind w:start="0" w:hanging="0"/>
      </w:pPr>
      <w:rPr>
        <w:sz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Times New Roman" w:hAnsi="Times New Roman" w:cs="Times New Roman"/>
      <w:sz w:val="24"/>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Level1">
    <w:name w:val="Level 1"/>
    <w:basedOn w:val="Normal"/>
    <w:qFormat/>
    <w:pPr>
      <w:widowControl w:val="false"/>
      <w:numPr>
        <w:ilvl w:val="0"/>
        <w:numId w:val="1"/>
      </w:numPr>
      <w:ind w:hanging="720" w:start="1440" w:end="720"/>
      <w:jc w:val="start"/>
      <w:outlineLvl w:val="0"/>
    </w:pPr>
    <w:rPr>
      <w:rFonts w:ascii="Courier;Courier New" w:hAnsi="Courier;Courier New" w:cs="Courier;Courier New"/>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2001-03-22T16:47:00Z</dcterms:created>
  <dc:creator>Bracewell &amp; Patterson</dc:creator>
  <dc:description/>
  <dc:language>en-CA</dc:language>
  <cp:lastModifiedBy>Bracewell &amp; Patterson</cp:lastModifiedBy>
  <dcterms:modified xsi:type="dcterms:W3CDTF">2001-03-22T16:50:00Z</dcterms:modified>
  <cp:revision>1</cp:revision>
  <dc:subject/>
  <dc:title/>
</cp:coreProperties>
</file>