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ind w:start="360" w:end="0"/>
        <w:jc w:val="center"/>
        <w:rPr>
          <w:b/>
          <w:bCs/>
          <w:sz w:val="20"/>
          <w:u w:val="single"/>
        </w:rPr>
      </w:pPr>
      <w:r>
        <w:rPr>
          <w:b/>
          <w:bCs/>
          <w:sz w:val="20"/>
          <w:u w:val="single"/>
        </w:rPr>
        <w:t>MARKET DISTRUPTION OPTIONAL LANGUAGE – ENRON DRAFT</w:t>
      </w:r>
    </w:p>
    <w:p>
      <w:pPr>
        <w:pStyle w:val="Normal"/>
        <w:spacing w:before="0" w:after="120"/>
        <w:ind w:start="360" w:end="0"/>
        <w:jc w:val="center"/>
        <w:rPr>
          <w:b/>
          <w:bCs/>
          <w:sz w:val="20"/>
          <w:u w:val="single"/>
        </w:rPr>
      </w:pPr>
      <w:r>
        <w:rPr>
          <w:b/>
          <w:bCs/>
          <w:sz w:val="20"/>
          <w:u w:val="single"/>
        </w:rPr>
      </w:r>
    </w:p>
    <w:p>
      <w:pPr>
        <w:pStyle w:val="BodyText3"/>
        <w:rPr/>
      </w:pPr>
      <w:r>
        <w:rPr/>
        <w:t>PROPOSED LANGUAGE TO BE USED IF PARTIES WANT TO ADDRESS What happens if pricing under a transaction is based on an index and that index is altered/disappears</w:t>
      </w:r>
    </w:p>
    <w:p>
      <w:pPr>
        <w:pStyle w:val="BodyText3"/>
        <w:rPr/>
      </w:pPr>
      <w:r>
        <w:rPr/>
      </w:r>
    </w:p>
    <w:p>
      <w:pPr>
        <w:pStyle w:val="Justified"/>
        <w:rPr/>
      </w:pPr>
      <w:r>
        <w:rPr>
          <w:b/>
          <w:bCs/>
        </w:rPr>
        <w:t>Index Transactions.</w:t>
      </w:r>
      <w:r>
        <w:rPr/>
        <w:t xml:space="preserve">  The following provision is added as Section 10. ___:</w:t>
      </w:r>
    </w:p>
    <w:p>
      <w:pPr>
        <w:pStyle w:val="Normal"/>
        <w:numPr>
          <w:ilvl w:val="0"/>
          <w:numId w:val="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taking the average of two dealer quotes selected by _________.</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by________):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numPr>
          <w:ilvl w:val="0"/>
          <w:numId w:val="2"/>
        </w:numPr>
        <w:spacing w:before="0" w:after="120"/>
        <w:jc w:val="both"/>
        <w:rPr>
          <w:sz w:val="20"/>
        </w:rPr>
      </w:pP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Normal"/>
        <w:spacing w:before="0" w:after="120"/>
        <w:jc w:val="both"/>
        <w:rPr>
          <w:sz w:val="20"/>
        </w:rPr>
      </w:pPr>
      <w:r>
        <w:rPr>
          <w:sz w:val="20"/>
        </w:rPr>
      </w:r>
    </w:p>
    <w:p>
      <w:pPr>
        <w:pStyle w:val="Normal"/>
        <w:spacing w:before="0" w:after="120"/>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jc w:val="both"/>
    </w:pPr>
    <w:rPr>
      <w:sz w:val="20"/>
      <w:szCs w:val="20"/>
    </w:rPr>
  </w:style>
  <w:style w:type="paragraph" w:styleId="BodyText3">
    <w:name w:val="Body Text 3"/>
    <w:basedOn w:val="Normal"/>
    <w:qFormat/>
    <w:pPr>
      <w:spacing w:before="0" w:after="120"/>
      <w:jc w:val="both"/>
    </w:pPr>
    <w:rPr>
      <w:b/>
      <w:caps/>
      <w:sz w:val="20"/>
      <w:u w:val="single"/>
    </w:rPr>
  </w:style>
  <w:style w:type="paragraph" w:styleId="Justified">
    <w:name w:val="Justified"/>
    <w:basedOn w:val="Normal"/>
    <w:next w:val="Heading2"/>
    <w:qFormat/>
    <w:pPr>
      <w:spacing w:before="0" w:after="120"/>
      <w:jc w:val="both"/>
    </w:pPr>
    <w:rPr>
      <w:sz w:val="22"/>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2001-07-31T11:00:00Z</dcterms:created>
  <dc:creator>gfitzge</dc:creator>
  <dc:description/>
  <dc:language>en-CA</dc:language>
  <cp:lastModifiedBy>esager</cp:lastModifiedBy>
  <dcterms:modified xsi:type="dcterms:W3CDTF">2001-07-31T13:47:00Z</dcterms:modified>
  <cp:revision>5</cp:revision>
  <dc:subject/>
  <dc:title>(a)</dc:title>
</cp:coreProperties>
</file>