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4"/>
          <w:u w:val="double"/>
        </w:rPr>
      </w:pPr>
      <w:r>
        <w:rPr>
          <w:b/>
          <w:sz w:val="24"/>
          <w:u w:val="double"/>
        </w:rPr>
        <w:t>ENRON NORTH AMERICA CORP.</w:t>
      </w:r>
    </w:p>
    <w:p>
      <w:pPr>
        <w:pStyle w:val="Normal"/>
        <w:bidi w:val="0"/>
        <w:jc w:val="center"/>
        <w:rPr>
          <w:b/>
          <w:sz w:val="24"/>
          <w:u w:val="double"/>
        </w:rPr>
      </w:pPr>
      <w:r>
        <w:rPr>
          <w:b/>
          <w:sz w:val="24"/>
          <w:u w:val="double"/>
        </w:rPr>
        <w:t>1400 Smith Street</w:t>
      </w:r>
    </w:p>
    <w:p>
      <w:pPr>
        <w:pStyle w:val="Normal"/>
        <w:bidi w:val="0"/>
        <w:jc w:val="center"/>
        <w:rPr>
          <w:b/>
          <w:sz w:val="24"/>
          <w:u w:val="double"/>
        </w:rPr>
      </w:pPr>
      <w:r>
        <w:rPr>
          <w:b/>
          <w:sz w:val="24"/>
          <w:u w:val="double"/>
        </w:rPr>
        <w:t>Houston, Texas    77002</w:t>
      </w:r>
    </w:p>
    <w:p>
      <w:pPr>
        <w:pStyle w:val="Normal"/>
        <w:bidi w:val="0"/>
        <w:jc w:val="start"/>
        <w:rPr>
          <w:b/>
          <w:sz w:val="24"/>
          <w:u w:val="double"/>
        </w:rPr>
      </w:pPr>
      <w:r>
        <w:rPr>
          <w:b/>
          <w:sz w:val="24"/>
          <w:u w:val="double"/>
        </w:rPr>
      </w:r>
    </w:p>
    <w:p>
      <w:pPr>
        <w:pStyle w:val="Normal"/>
        <w:bidi w:val="0"/>
        <w:jc w:val="start"/>
        <w:rPr>
          <w:strike/>
          <w:sz w:val="24"/>
        </w:rPr>
      </w:pPr>
      <w:r>
        <w:rPr>
          <w:sz w:val="24"/>
        </w:rPr>
        <w:tab/>
        <w:tab/>
        <w:tab/>
        <w:tab/>
        <w:tab/>
        <w:tab/>
        <w:tab/>
        <w:tab/>
        <w:tab/>
      </w:r>
      <w:r>
        <w:rPr>
          <w:b/>
          <w:sz w:val="24"/>
          <w:u w:val="double"/>
        </w:rPr>
        <w:t>April ___</w:t>
      </w:r>
    </w:p>
    <w:p>
      <w:pPr>
        <w:pStyle w:val="Normal"/>
        <w:bidi w:val="0"/>
        <w:jc w:val="start"/>
        <w:rPr>
          <w:strike/>
          <w:sz w:val="24"/>
        </w:rPr>
      </w:pPr>
      <w:r>
        <w:rPr>
          <w:strike/>
          <w:sz w:val="24"/>
        </w:rPr>
      </w:r>
    </w:p>
    <w:p>
      <w:pPr>
        <w:pStyle w:val="Normal"/>
        <w:bidi w:val="0"/>
        <w:jc w:val="start"/>
        <w:rPr>
          <w:strike/>
          <w:sz w:val="24"/>
        </w:rPr>
      </w:pPr>
      <w:r>
        <w:rPr>
          <w:strike/>
          <w:sz w:val="24"/>
        </w:rPr>
      </w:r>
    </w:p>
    <w:p>
      <w:pPr>
        <w:pStyle w:val="Normal"/>
        <w:bidi w:val="0"/>
        <w:jc w:val="start"/>
        <w:rPr>
          <w:strike/>
          <w:sz w:val="24"/>
        </w:rPr>
      </w:pPr>
      <w:r>
        <w:rPr>
          <w:strike/>
          <w:sz w:val="24"/>
        </w:rPr>
      </w:r>
    </w:p>
    <w:p>
      <w:pPr>
        <w:pStyle w:val="Normal"/>
        <w:bidi w:val="0"/>
        <w:jc w:val="start"/>
        <w:rPr>
          <w:sz w:val="24"/>
        </w:rPr>
      </w:pPr>
      <w:r>
        <w:rPr>
          <w:strike/>
          <w:sz w:val="24"/>
        </w:rPr>
        <w:t xml:space="preserve">April </w:t>
      </w:r>
      <w:r>
        <w:rPr>
          <w:sz w:val="24"/>
        </w:rPr>
        <w:t>, 2001</w:t>
      </w:r>
    </w:p>
    <w:p>
      <w:pPr>
        <w:pStyle w:val="Normal"/>
        <w:bidi w:val="0"/>
        <w:jc w:val="start"/>
        <w:rPr>
          <w:sz w:val="24"/>
        </w:rPr>
      </w:pPr>
      <w:r>
        <w:rPr>
          <w:sz w:val="24"/>
        </w:rPr>
      </w:r>
    </w:p>
    <w:p>
      <w:pPr>
        <w:pStyle w:val="Normal"/>
        <w:bidi w:val="0"/>
        <w:jc w:val="start"/>
        <w:rPr>
          <w:strike/>
          <w:sz w:val="24"/>
        </w:rPr>
      </w:pPr>
      <w:r>
        <w:rPr>
          <w:sz w:val="24"/>
        </w:rPr>
        <w:t xml:space="preserve">NorthWestern Generation I, </w:t>
      </w:r>
      <w:r>
        <w:rPr>
          <w:b/>
          <w:sz w:val="24"/>
          <w:u w:val="double"/>
        </w:rPr>
        <w:t>LLC</w:t>
      </w:r>
      <w:r>
        <w:rPr>
          <w:sz w:val="24"/>
        </w:rPr>
        <w:br/>
      </w:r>
      <w:r>
        <w:rPr>
          <w:b/>
          <w:sz w:val="24"/>
          <w:u w:val="double"/>
        </w:rPr>
        <w:t>c/o NorthWestern Corporation</w:t>
      </w:r>
      <w:r>
        <w:rPr>
          <w:sz w:val="24"/>
        </w:rPr>
        <w:br/>
      </w:r>
      <w:r>
        <w:rPr>
          <w:b/>
          <w:sz w:val="24"/>
          <w:u w:val="double"/>
        </w:rPr>
        <w:t>125 South Dakota Avenue</w:t>
      </w:r>
      <w:r>
        <w:rPr>
          <w:sz w:val="24"/>
        </w:rPr>
        <w:br/>
      </w:r>
      <w:r>
        <w:rPr>
          <w:b/>
          <w:sz w:val="24"/>
          <w:u w:val="double"/>
        </w:rPr>
        <w:t>Sioux Falls, South Dakota    57104</w:t>
      </w:r>
      <w:r>
        <w:rPr>
          <w:sz w:val="24"/>
        </w:rPr>
        <w:br/>
        <w:t xml:space="preserve"> </w:t>
      </w:r>
      <w:r>
        <w:rPr>
          <w:strike/>
          <w:sz w:val="24"/>
        </w:rPr>
        <w:t>LLC</w:t>
      </w:r>
    </w:p>
    <w:p>
      <w:pPr>
        <w:pStyle w:val="Normal"/>
        <w:bidi w:val="0"/>
        <w:jc w:val="start"/>
        <w:rPr>
          <w:sz w:val="24"/>
        </w:rPr>
      </w:pPr>
      <w:r>
        <w:rPr>
          <w:strike/>
          <w:sz w:val="24"/>
        </w:rPr>
        <w:t>[Address of NorSub]</w:t>
      </w:r>
    </w:p>
    <w:p>
      <w:pPr>
        <w:pStyle w:val="RELINE"/>
        <w:bidi w:val="0"/>
        <w:jc w:val="both"/>
        <w:rPr>
          <w:rFonts w:ascii="Times New Roman" w:hAnsi="Times New Roman"/>
          <w:sz w:val="24"/>
        </w:rPr>
      </w:pPr>
      <w:r>
        <w:rPr>
          <w:sz w:val="24"/>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bidi w:val="0"/>
        <w:jc w:val="both"/>
        <w:rPr>
          <w:sz w:val="24"/>
        </w:rPr>
      </w:pPr>
      <w:r>
        <w:rPr>
          <w:sz w:val="24"/>
        </w:rPr>
        <w:t>Ladies and Gentlemen:</w:t>
      </w:r>
    </w:p>
    <w:p>
      <w:pPr>
        <w:pStyle w:val="Normal"/>
        <w:bidi w:val="0"/>
        <w:jc w:val="both"/>
        <w:rPr>
          <w:sz w:val="24"/>
        </w:rPr>
      </w:pPr>
      <w:r>
        <w:rPr>
          <w:sz w:val="24"/>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E-Next Generation LLC, as purchaser (the </w:t>
      </w:r>
      <w:r>
        <w:rPr>
          <w:strike/>
        </w:rPr>
        <w:t>Original</w:t>
      </w:r>
      <w:r>
        <w:rPr>
          <w:b/>
          <w:u w:val="double"/>
        </w:rPr>
        <w:t>“Original</w:t>
      </w:r>
      <w:r>
        <w:rPr>
          <w:u w:val="single"/>
        </w:rPr>
        <w:t xml:space="preserve">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 xml:space="preserve">As of the date of this Agreement, (i) the LLC is wholly-owned by ENA, (ii) one of the Turbines has been delivered under the Original Turbine Contract and has been placed in storage at </w:t>
      </w:r>
      <w:r>
        <w:rPr>
          <w:strike/>
        </w:rPr>
        <w:t>a storage facility owned by GE and located at ____________</w:t>
      </w:r>
      <w:r>
        <w:rPr>
          <w:b/>
          <w:u w:val="double"/>
        </w:rPr>
        <w:t>storage facilities located as set forth on Schedule I</w:t>
      </w:r>
      <w:r>
        <w:rPr/>
        <w:t xml:space="preserve"> </w:t>
      </w:r>
      <w:r>
        <w:rPr>
          <w:b/>
          <w:u w:val="double"/>
        </w:rPr>
        <w:t>attached hereto</w:t>
      </w:r>
      <w:r>
        <w:rPr/>
        <w:t xml:space="preserve"> (such Turbine being referred to herein as the “</w:t>
      </w:r>
      <w:r>
        <w:rPr>
          <w:u w:val="single"/>
        </w:rPr>
        <w:t>First Turbine</w:t>
      </w:r>
      <w:r>
        <w:rPr/>
        <w:t xml:space="preserve">”), and (ii) the other Turbine is scheduled to be delivered under the Original Turbine Contract </w:t>
      </w:r>
      <w:r>
        <w:rPr>
          <w:strike/>
        </w:rPr>
        <w:t>on _________</w:t>
      </w:r>
      <w:r>
        <w:rPr>
          <w:b/>
          <w:u w:val="double"/>
        </w:rPr>
        <w:t>in February</w:t>
      </w:r>
      <w:r>
        <w:rPr/>
        <w:t>, 2002 (such Turbine being referred to herein as the “</w:t>
      </w:r>
      <w:r>
        <w:rPr>
          <w:u w:val="single"/>
        </w:rPr>
        <w:t>Second Turbine</w:t>
      </w:r>
      <w:r>
        <w:rPr/>
        <w:t>”).</w:t>
      </w:r>
    </w:p>
    <w:p>
      <w:pPr>
        <w:pStyle w:val="StandardL1"/>
        <w:bidi w:val="0"/>
        <w:jc w:val="both"/>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bidi w:val="0"/>
        <w:jc w:val="both"/>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bidi w:val="0"/>
        <w:jc w:val="both"/>
        <w:rPr>
          <w:rFonts w:ascii="Times New Roman" w:hAnsi="Times New Roman"/>
        </w:rPr>
      </w:pPr>
      <w:r>
        <w:rPr/>
        <w:t>(b)</w:t>
        <w:tab/>
        <w:t>The terms “</w:t>
      </w:r>
      <w:r>
        <w:rPr>
          <w:u w:val="single"/>
        </w:rPr>
        <w:t>Change Orders</w:t>
      </w:r>
      <w:r>
        <w:rPr/>
        <w:t>”,</w:t>
      </w:r>
      <w:r>
        <w:rPr>
          <w:b/>
          <w:u w:val="double"/>
        </w:rPr>
        <w:t xml:space="preserve"> “Delivery Liquidated Damages”,</w:t>
      </w:r>
      <w:r>
        <w:rPr/>
        <w:t xml:space="preserve">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StandardL2"/>
        <w:bidi w:val="0"/>
        <w:jc w:val="both"/>
        <w:rPr>
          <w:rFonts w:ascii="Times New Roman" w:hAnsi="Times New Roman"/>
          <w:b/>
          <w:u w:val="double"/>
        </w:rPr>
      </w:pPr>
      <w:r>
        <w:rPr/>
        <w:t>(c)</w:t>
        <w:tab/>
      </w:r>
      <w:r>
        <w:rPr>
          <w:b/>
          <w:u w:val="double"/>
        </w:rPr>
        <w:t>The terms “Call Right” and “Put Right” have the meanings assigned to those terms in the LLC Agreement (as hereinafter defined).</w:t>
      </w:r>
    </w:p>
    <w:p>
      <w:pPr>
        <w:pStyle w:val="StandardL2"/>
        <w:bidi w:val="0"/>
        <w:jc w:val="both"/>
        <w:rPr>
          <w:rFonts w:ascii="Times New Roman" w:hAnsi="Times New Roman"/>
        </w:rPr>
      </w:pPr>
      <w:r>
        <w:rPr>
          <w:b/>
          <w:u w:val="double"/>
        </w:rPr>
        <w:t>(d)</w:t>
      </w:r>
      <w:r>
        <w:rPr/>
        <w:tab/>
        <w:t>The following terms shall have the following meanings (such meanings to be equally applicable to both the singular and plural forms of the terms defined):</w:t>
      </w:r>
    </w:p>
    <w:p>
      <w:pPr>
        <w:pStyle w:val="BodyText"/>
        <w:bidi w:val="0"/>
        <w:rPr>
          <w:rFonts w:ascii="Times New Roman" w:hAnsi="Times New Roman"/>
        </w:rPr>
      </w:pPr>
      <w:r>
        <w:rPr/>
        <w:t>“</w:t>
      </w:r>
      <w:r>
        <w:rPr>
          <w:u w:val="single"/>
        </w:rPr>
        <w:t>AAA</w:t>
      </w:r>
      <w:r>
        <w:rPr/>
        <w:t>”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xml:space="preserve">” has the meaning assigned to that term in Section </w:t>
      </w:r>
      <w:r>
        <w:rPr>
          <w:strike/>
        </w:rPr>
        <w:t>5(d)</w:t>
      </w:r>
      <w:r>
        <w:rPr/>
        <w:t xml:space="preserve"> </w:t>
      </w:r>
      <w:r>
        <w:rPr>
          <w:b/>
          <w:u w:val="double"/>
        </w:rPr>
        <w:t>5(c)</w:t>
      </w:r>
      <w:r>
        <w:rPr/>
        <w:t xml:space="preserve">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b/>
          <w:u w:val="double"/>
        </w:rPr>
        <w:t>“</w:t>
      </w:r>
      <w:r>
        <w:rPr>
          <w:b/>
          <w:u w:val="double"/>
        </w:rPr>
        <w:t>Business Day”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xml:space="preserve">” has the meaning assigned to that term in </w:t>
      </w:r>
      <w:r>
        <w:rPr>
          <w:strike/>
        </w:rPr>
        <w:t>Section 2</w:t>
      </w:r>
      <w:r>
        <w:rPr/>
        <w:t xml:space="preserve"> </w:t>
      </w:r>
      <w:r>
        <w:rPr>
          <w:b/>
          <w:u w:val="double"/>
        </w:rPr>
        <w:t>Section 2</w:t>
      </w:r>
      <w:r>
        <w:rPr/>
        <w:t xml:space="preserve">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b/>
          <w:u w:val="double"/>
        </w:rPr>
      </w:pPr>
      <w:r>
        <w:rPr/>
        <w:t>“</w:t>
      </w:r>
      <w:r>
        <w:rPr>
          <w:u w:val="single"/>
        </w:rPr>
        <w:t>Closing Notice</w:t>
      </w:r>
      <w:r>
        <w:rPr/>
        <w:t xml:space="preserve">” has the meaning assigned to that term in </w:t>
      </w:r>
      <w:r>
        <w:rPr>
          <w:strike/>
        </w:rPr>
        <w:t>Section 3 of this Agreement.</w:t>
      </w:r>
      <w:r>
        <w:rPr/>
        <w:t xml:space="preserve"> </w:t>
      </w:r>
      <w:r>
        <w:rPr>
          <w:b/>
          <w:u w:val="double"/>
        </w:rPr>
        <w:t>Section 3 of this Agreement.</w:t>
      </w:r>
    </w:p>
    <w:p>
      <w:pPr>
        <w:pStyle w:val="BodyText"/>
        <w:bidi w:val="0"/>
        <w:rPr>
          <w:rFonts w:ascii="Times New Roman" w:hAnsi="Times New Roman"/>
        </w:rPr>
      </w:pPr>
      <w:r>
        <w:rPr>
          <w:b/>
          <w:u w:val="double"/>
        </w:rPr>
        <w:t>“</w:t>
      </w:r>
      <w:r>
        <w:rPr>
          <w:b/>
          <w:u w:val="double"/>
        </w:rPr>
        <w:t>Closing Postponement Escrow Deposit Amount” has the meaning assigned to that term in Section 3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xml:space="preserve">” has the meaning assigned to that term in </w:t>
      </w:r>
      <w:r>
        <w:rPr>
          <w:strike/>
        </w:rPr>
        <w:t>Section 20(a)</w:t>
      </w:r>
      <w:r>
        <w:rPr/>
        <w:t xml:space="preserve"> </w:t>
      </w:r>
      <w:r>
        <w:rPr>
          <w:b/>
          <w:u w:val="double"/>
        </w:rPr>
        <w:t>Section 20(a)</w:t>
      </w:r>
      <w:r>
        <w:rPr/>
        <w:t xml:space="preserve">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b/>
          <w:u w:val="double"/>
        </w:rPr>
        <w:t>“</w:t>
      </w:r>
      <w:r>
        <w:rPr>
          <w:b/>
          <w:u w:val="double"/>
        </w:rPr>
        <w:t>Escrow Funding    Date” has the meaning assigned to that term in Section 4(b)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keepNext w:val="true"/>
        <w:keepLines/>
        <w:bidi w:val="0"/>
        <w:rPr>
          <w:rFonts w:ascii="Times New Roman" w:hAnsi="Times New Roman"/>
        </w:rPr>
      </w:pPr>
      <w:r>
        <w:rPr>
          <w:b/>
          <w:u w:val="double"/>
        </w:rPr>
        <w:t>“</w:t>
      </w:r>
      <w:r>
        <w:rPr>
          <w:b/>
          <w:u w:val="double"/>
        </w:rPr>
        <w:t>GE Accelerated Payment”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b/>
          <w:u w:val="double"/>
        </w:rPr>
      </w:pPr>
      <w:r>
        <w:rPr>
          <w:b/>
          <w:u w:val="double"/>
        </w:rPr>
        <w:t>“</w:t>
      </w:r>
      <w:r>
        <w:rPr>
          <w:b/>
          <w:u w:val="double"/>
        </w:rPr>
        <w:t>Initial Deposit” means the payment in the amount of One Million and No/100 Dollars ($1,000,000.00) made by NorthWestern to ENA pursuant to the Initial Letter Agreement.</w:t>
      </w:r>
    </w:p>
    <w:p>
      <w:pPr>
        <w:pStyle w:val="BodyText"/>
        <w:bidi w:val="0"/>
        <w:rPr>
          <w:rFonts w:ascii="Times New Roman" w:hAnsi="Times New Roman"/>
        </w:rPr>
      </w:pPr>
      <w:r>
        <w:rPr>
          <w:b/>
          <w:u w:val="double"/>
        </w:rPr>
        <w:t>“</w:t>
      </w:r>
      <w:r>
        <w:rPr>
          <w:b/>
          <w:u w:val="double"/>
        </w:rPr>
        <w:t>Initial Letter Agreement” means the letter agreement, dated March 26, 2001, and amended as of April 16, 2001, between NorthWestern and ENA.</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t>“</w:t>
      </w:r>
      <w:r>
        <w:rPr>
          <w:u w:val="single"/>
        </w:rPr>
        <w:t>NorSub Cash Contribution</w:t>
      </w:r>
      <w:r>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xml:space="preserve">” has the meaning assigned to </w:t>
      </w:r>
      <w:r>
        <w:rPr>
          <w:strike/>
        </w:rPr>
        <w:t>the</w:t>
      </w:r>
      <w:r>
        <w:rPr/>
        <w:t xml:space="preserve"> </w:t>
      </w:r>
      <w:r>
        <w:rPr>
          <w:b/>
          <w:u w:val="double"/>
        </w:rPr>
        <w:t>that</w:t>
      </w:r>
      <w:r>
        <w:rPr/>
        <w:t xml:space="preserve">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means an amount equal to Forty-</w:t>
      </w:r>
      <w:r>
        <w:rPr>
          <w:strike/>
        </w:rPr>
        <w:t>Eight</w:t>
      </w:r>
      <w:r>
        <w:rPr/>
        <w:t xml:space="preserve"> </w:t>
      </w:r>
      <w:r>
        <w:rPr>
          <w:b/>
          <w:u w:val="double"/>
        </w:rPr>
        <w:t>Nine</w:t>
      </w:r>
      <w:r>
        <w:rPr/>
        <w:t xml:space="preserve"> Million and No/100 Dollars </w:t>
      </w:r>
      <w:r>
        <w:rPr>
          <w:strike/>
        </w:rPr>
        <w:t>($48,000,000.00)</w:t>
      </w:r>
      <w:r>
        <w:rPr>
          <w:b/>
          <w:u w:val="double"/>
        </w:rPr>
        <w:t>($49,000,000.00)</w:t>
      </w:r>
      <w:r>
        <w:rPr/>
        <w:t xml:space="preserve">, which amount includes the Purchase Price Deposits </w:t>
      </w:r>
      <w:r>
        <w:rPr>
          <w:b/>
          <w:u w:val="double"/>
        </w:rPr>
        <w:t>and the Initial Deposit</w:t>
      </w:r>
      <w:r>
        <w:rPr/>
        <w:t xml:space="preserve">;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bidi w:val="0"/>
        <w:rPr>
          <w:rFonts w:ascii="Times New Roman" w:hAnsi="Times New Roman"/>
        </w:rPr>
      </w:pPr>
      <w:r>
        <w:rPr/>
        <w:t>“</w:t>
      </w:r>
      <w:r>
        <w:rPr>
          <w:u w:val="single"/>
        </w:rPr>
        <w:t xml:space="preserve">Purchase Price </w:t>
      </w:r>
      <w:r>
        <w:rPr>
          <w:strike/>
          <w:u w:val="single"/>
        </w:rPr>
        <w:t>Deposit(s)” has the meaning assigned to that term</w:t>
      </w:r>
      <w:r>
        <w:rPr>
          <w:u w:val="single"/>
        </w:rPr>
        <w:t xml:space="preserve"> </w:t>
      </w:r>
      <w:r>
        <w:rPr>
          <w:b/>
          <w:u w:val="double"/>
        </w:rPr>
        <w:t>Deposit” and “Purchase Price Deposits” have the meanings assigned to those terms</w:t>
      </w:r>
      <w:r>
        <w:rPr/>
        <w:t xml:space="preserve"> in Section 5(c) of this Agreement.</w:t>
      </w:r>
    </w:p>
    <w:p>
      <w:pPr>
        <w:pStyle w:val="BodyText"/>
        <w:bidi w:val="0"/>
        <w:rPr>
          <w:rFonts w:ascii="Times New Roman" w:hAnsi="Times New Roman"/>
          <w:b/>
          <w:u w:val="double"/>
        </w:rPr>
      </w:pPr>
      <w:r>
        <w:rPr>
          <w:b/>
          <w:u w:val="double"/>
        </w:rPr>
        <w:t>“</w:t>
      </w:r>
      <w:r>
        <w:rPr>
          <w:b/>
          <w:u w:val="double"/>
        </w:rPr>
        <w:t>Remaining Purchase Amount Installment” and “Remaining Purchase Amount Installments” have the meanings assigned to those terms in Section 8(a) of this Agreement.</w:t>
      </w:r>
    </w:p>
    <w:p>
      <w:pPr>
        <w:pStyle w:val="BodyText"/>
        <w:bidi w:val="0"/>
        <w:rPr>
          <w:rFonts w:ascii="Times New Roman" w:hAnsi="Times New Roman"/>
        </w:rPr>
      </w:pPr>
      <w:r>
        <w:rPr>
          <w:b/>
          <w:u w:val="double"/>
        </w:rPr>
        <w:t>“</w:t>
      </w:r>
      <w:r>
        <w:rPr>
          <w:b/>
          <w:u w:val="double"/>
        </w:rPr>
        <w:t>Remaining Purchase Amount Refund Amount” has the meaning assigned to that term in Section 8(b)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xml:space="preserve">” has the meaning assigned to that term in </w:t>
      </w:r>
      <w:r>
        <w:rPr>
          <w:strike/>
        </w:rPr>
        <w:t>Section 9</w:t>
      </w:r>
      <w:r>
        <w:rPr/>
        <w:t xml:space="preserve"> </w:t>
      </w:r>
      <w:r>
        <w:rPr>
          <w:b/>
          <w:u w:val="double"/>
        </w:rPr>
        <w:t>Section 9</w:t>
      </w:r>
      <w:r>
        <w:rPr/>
        <w:t xml:space="preserve">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w:t>
      </w:r>
      <w:r>
        <w:rPr>
          <w:b/>
          <w:u w:val="double"/>
        </w:rPr>
        <w:t>Cost</w:t>
      </w:r>
      <w:r>
        <w:rPr/>
        <w:t xml:space="preserve"> and Excess Cost made by NorSub to ENA), and (ii) the Purchase Price Deposits paid by NorSub to ENA pursuant to Sections 5(b) and 5(c) of this Agreement </w:t>
      </w:r>
      <w:r>
        <w:rPr>
          <w:b/>
          <w:u w:val="double"/>
        </w:rPr>
        <w:t>and the Initial Deposit paid by NorthWestern to ENA pursuant to the Initial Letter Agreement</w:t>
      </w:r>
      <w:r>
        <w:rPr/>
        <w:t xml:space="preserve">. </w:t>
      </w:r>
    </w:p>
    <w:p>
      <w:pPr>
        <w:pStyle w:val="StandardL1"/>
        <w:bidi w:val="0"/>
        <w:jc w:val="both"/>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bidi w:val="0"/>
        <w:jc w:val="both"/>
        <w:rPr>
          <w:rFonts w:ascii="Times New Roman" w:hAnsi="Times New Roman"/>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xml:space="preserve">”) (duly signed by the parties thereto); </w:t>
      </w:r>
      <w:r>
        <w:rPr>
          <w:b/>
          <w:u w:val="double"/>
        </w:rPr>
        <w:t>and</w:t>
      </w:r>
      <w:r>
        <w:rPr/>
        <w:t xml:space="preserve"> (ii) cause GE to acknowledge and agree to such assignment and assumption by executing that certain acknowledgment and agreement of GE that is attached to the Turbine Contract Assignment and Assumption Agreement</w:t>
      </w:r>
      <w:r>
        <w:rPr>
          <w:strike/>
        </w:rPr>
        <w: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r>
        <w:rPr/>
        <w:t>.</w:t>
      </w:r>
      <w:r>
        <w:rPr>
          <w:strike/>
        </w:rPr>
        <w:t>]</w:t>
      </w:r>
    </w:p>
    <w:p>
      <w:pPr>
        <w:pStyle w:val="StandardL2"/>
        <w:bidi w:val="0"/>
        <w:jc w:val="both"/>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bidi w:val="0"/>
        <w:jc w:val="both"/>
        <w:rPr>
          <w:rFonts w:ascii="Times New Roman" w:hAnsi="Times New Roman"/>
        </w:rPr>
      </w:pPr>
      <w:r>
        <w:rPr/>
        <w:t>(c)</w:t>
        <w:tab/>
        <w:t>ENA, NorSub and the LLC shall execute and deliver the First Amended and Restated Limited Liability Company Agreement of the LLC</w:t>
      </w:r>
      <w:r>
        <w:rPr>
          <w:b/>
          <w:u w:val="double"/>
        </w:rPr>
        <w:t>,</w:t>
      </w:r>
      <w:r>
        <w:rPr/>
        <w:t xml:space="preserve"> in the form of </w:t>
      </w:r>
      <w:r>
        <w:rPr>
          <w:u w:val="single"/>
        </w:rPr>
        <w:t>Exhibit C</w:t>
      </w:r>
      <w:r>
        <w:rPr/>
        <w:t xml:space="preserve"> attached hereto (the “</w:t>
      </w:r>
      <w:r>
        <w:rPr>
          <w:u w:val="single"/>
        </w:rPr>
        <w:t>LLC Agreement</w:t>
      </w:r>
      <w:r>
        <w:rPr/>
        <w:t>”).</w:t>
      </w:r>
    </w:p>
    <w:p>
      <w:pPr>
        <w:pStyle w:val="StandardL2"/>
        <w:bidi w:val="0"/>
        <w:jc w:val="both"/>
        <w:rPr>
          <w:rFonts w:ascii="Times New Roman" w:hAnsi="Times New Roman"/>
        </w:rPr>
      </w:pPr>
      <w:r>
        <w:rPr/>
        <w:t>(d)</w:t>
        <w:tab/>
        <w:t xml:space="preserve">In consideration of the execution and delivery by the LLC to NorSub of a promissory note of the LLC, in </w:t>
      </w:r>
      <w:r>
        <w:rPr>
          <w:strike/>
        </w:rPr>
        <w:t>substantially</w:t>
      </w:r>
      <w:r>
        <w:rPr/>
        <w:t xml:space="preserve">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bidi w:val="0"/>
        <w:jc w:val="both"/>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bidi w:val="0"/>
        <w:jc w:val="both"/>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bidi w:val="0"/>
        <w:jc w:val="both"/>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w:t>
      </w:r>
      <w:r>
        <w:rPr>
          <w:strike/>
        </w:rPr>
        <w:t>4(c)</w:t>
      </w:r>
      <w:r>
        <w:rPr/>
        <w:t xml:space="preserve"> </w:t>
      </w:r>
      <w:r>
        <w:rPr>
          <w:b/>
          <w:u w:val="double"/>
        </w:rPr>
        <w:t>4(b)</w:t>
      </w:r>
      <w:r>
        <w:rPr/>
        <w:t xml:space="preserve"> of this Agreement </w:t>
      </w:r>
      <w:r>
        <w:rPr>
          <w:b/>
          <w:u w:val="double"/>
        </w:rPr>
        <w:t>(without giving effect to the Closing Postponement Escrow Deposit Amount)</w:t>
      </w:r>
      <w:r>
        <w:rPr/>
        <w:t xml:space="preserve">,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w:t>
      </w:r>
      <w:r>
        <w:rPr>
          <w:b/>
          <w:u w:val="double"/>
        </w:rPr>
        <w:t>, on the Business Day next succeeding the Specified Closing Date,</w:t>
      </w:r>
      <w:r>
        <w:rPr/>
        <w:t xml:space="preserve"> an amount equal to interest, at the rate of Seven and One-Half Percent (7.5%) per annum </w:t>
      </w:r>
      <w:r>
        <w:rPr>
          <w:b/>
          <w:u w:val="double"/>
        </w:rPr>
        <w:t>(calculated on the basis of the actual number of days elapsed in a year consisting of Three Hundred Sixty Five (365) days)</w:t>
      </w:r>
      <w:r>
        <w:rPr/>
        <w:t xml:space="preserve">, on Forty Million and No/100 Dollars ($40,000,000), for each day in the period from and including the Specified Closing Date to but excluding the day on which the Closing occurs (such amount being the amount by which the Purchase Price will increase by reason of such postponement </w:t>
      </w:r>
      <w:r>
        <w:rPr>
          <w:b/>
          <w:u w:val="double"/>
        </w:rPr>
        <w:t>and such amount being referred to herein as the “Closing Postponement Escrow Deposit Amount”).</w:t>
      </w:r>
      <w:r>
        <w:rPr>
          <w:strike/>
        </w:rPr>
        <w:t>).</w:t>
      </w:r>
    </w:p>
    <w:p>
      <w:pPr>
        <w:pStyle w:val="StandardL1"/>
        <w:keepNext w:val="true"/>
        <w:keepLines/>
        <w:bidi w:val="0"/>
        <w:jc w:val="both"/>
        <w:rPr>
          <w:rFonts w:ascii="Times New Roman" w:hAnsi="Times New Roman"/>
        </w:rPr>
      </w:pPr>
      <w:r>
        <w:rPr/>
        <w:t>4.</w:t>
        <w:tab/>
      </w:r>
      <w:r>
        <w:rPr>
          <w:b/>
        </w:rPr>
        <w:t>Escrow Arrangements and Funding</w:t>
      </w:r>
      <w:r>
        <w:rPr/>
        <w:t>.</w:t>
      </w:r>
    </w:p>
    <w:p>
      <w:pPr>
        <w:pStyle w:val="StandardL2"/>
        <w:keepNext w:val="true"/>
        <w:keepLines/>
        <w:bidi w:val="0"/>
        <w:jc w:val="both"/>
        <w:rPr>
          <w:rFonts w:ascii="Times New Roman" w:hAnsi="Times New Roman"/>
        </w:rPr>
      </w:pPr>
      <w:r>
        <w:rPr/>
        <w:t>(a)</w:t>
        <w:tab/>
        <w:t>Simultaneously with the execution and delivery of this Agreement, the Parties are entering into an escrow agreement with Citibank, N.A., as escrow agent (the “</w:t>
      </w:r>
      <w:r>
        <w:rPr>
          <w:u w:val="single"/>
        </w:rPr>
        <w:t>Escrow Agent</w:t>
      </w:r>
      <w:r>
        <w:rPr/>
        <w:t xml:space="preserve">”) </w:t>
      </w:r>
      <w:r>
        <w:rPr>
          <w:strike/>
        </w:rPr>
        <w:t>substantially</w:t>
      </w:r>
      <w:r>
        <w:rPr/>
        <w:t xml:space="preserve">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xml:space="preserve">”) is being established for the purpose of facilitating the Closing.    Notwithstanding anything to the contrary in the Escrow Agreement, NorSub will pay </w:t>
      </w:r>
      <w:r>
        <w:rPr>
          <w:b/>
          <w:u w:val="double"/>
        </w:rPr>
        <w:t>directly to the Escrow Agent</w:t>
      </w:r>
      <w:r>
        <w:rPr/>
        <w:t xml:space="preserve"> all acceptance, setup, administration and other fees associated with the Escrow Account and the Escrow Agreement.</w:t>
      </w:r>
    </w:p>
    <w:p>
      <w:pPr>
        <w:pStyle w:val="StandardL2"/>
        <w:bidi w:val="0"/>
        <w:jc w:val="both"/>
        <w:rPr>
          <w:rFonts w:ascii="Times New Roman" w:hAnsi="Times New Roman"/>
        </w:rPr>
      </w:pPr>
      <w:r>
        <w:rPr/>
        <w:t>(b)</w:t>
        <w:tab/>
        <w:t xml:space="preserve">On the date which is twenty (20) days prior to the Specified Closing Date (or, if such day is not a </w:t>
      </w:r>
      <w:r>
        <w:rPr>
          <w:strike/>
        </w:rPr>
        <w:t>business day in New York City</w:t>
      </w:r>
      <w:r>
        <w:rPr/>
        <w:t xml:space="preserve"> </w:t>
      </w:r>
      <w:r>
        <w:rPr>
          <w:b/>
          <w:u w:val="double"/>
        </w:rPr>
        <w:t>Business Day</w:t>
      </w:r>
      <w:r>
        <w:rPr/>
        <w:t xml:space="preserve">, on the next day which is a </w:t>
      </w:r>
      <w:r>
        <w:rPr>
          <w:strike/>
        </w:rPr>
        <w:t>business day in New York City)</w:t>
      </w:r>
      <w:r>
        <w:rPr/>
        <w:t xml:space="preserve"> </w:t>
      </w:r>
      <w:r>
        <w:rPr>
          <w:b/>
          <w:u w:val="double"/>
        </w:rPr>
        <w:t>Business Day) (such date being referred to herein as the “Escrow Funding Date”)</w:t>
      </w:r>
      <w:r>
        <w:rPr/>
        <w:t>, NorSub shall deposit in the Escrow Account an amount equal to the sum of (i) the Unpaid Purchase Price, plus (ii) the NorSub Cash Contribution</w:t>
      </w:r>
      <w:r>
        <w:rPr>
          <w:b/>
          <w:u w:val="double"/>
        </w:rPr>
        <w:t>,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r>
        <w:rPr/>
        <w:t>.</w:t>
      </w:r>
    </w:p>
    <w:p>
      <w:pPr>
        <w:pStyle w:val="StandardL2"/>
        <w:bidi w:val="0"/>
        <w:jc w:val="both"/>
        <w:rPr>
          <w:rFonts w:ascii="Times New Roman" w:hAnsi="Times New Roman"/>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w:t>
      </w:r>
      <w:r>
        <w:rPr>
          <w:b/>
          <w:u w:val="double"/>
        </w:rPr>
        <w:t>)</w:t>
      </w:r>
      <w:r>
        <w:rPr/>
        <w:t xml:space="preserv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w:t>
      </w:r>
      <w:r>
        <w:rPr>
          <w:strike/>
        </w:rPr>
        <w:t>Account</w:t>
      </w:r>
      <w:r>
        <w:rPr/>
        <w:t xml:space="preserve"> </w:t>
      </w:r>
      <w:r>
        <w:rPr>
          <w:b/>
          <w:u w:val="double"/>
        </w:rPr>
        <w:t>Funding Date</w:t>
      </w:r>
      <w:r>
        <w:rPr/>
        <w:t xml:space="preserve"> is </w:t>
      </w:r>
      <w:r>
        <w:rPr>
          <w:strike/>
        </w:rPr>
        <w:t>funded</w:t>
      </w:r>
      <w:r>
        <w:rPr/>
        <w:t xml:space="preserve"> </w:t>
      </w:r>
      <w:r>
        <w:rPr>
          <w:b/>
          <w:u w:val="double"/>
        </w:rPr>
        <w:t>on or</w:t>
      </w:r>
      <w:r>
        <w:rPr/>
        <w:t xml:space="preserve"> prior to July </w:t>
      </w:r>
      <w:r>
        <w:rPr>
          <w:strike/>
        </w:rPr>
        <w:t>15</w:t>
      </w:r>
      <w:r>
        <w:rPr/>
        <w:t xml:space="preserve"> </w:t>
      </w:r>
      <w:r>
        <w:rPr>
          <w:b/>
          <w:u w:val="double"/>
        </w:rPr>
        <w:t>13</w:t>
      </w:r>
      <w:r>
        <w:rPr/>
        <w:t>,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bidi w:val="0"/>
        <w:jc w:val="both"/>
        <w:rPr>
          <w:rFonts w:ascii="Times New Roman" w:hAnsi="Times New Roman"/>
        </w:rPr>
      </w:pPr>
      <w:r>
        <w:rPr/>
        <w:t>5.</w:t>
        <w:tab/>
      </w:r>
      <w:r>
        <w:rPr>
          <w:b/>
        </w:rPr>
        <w:t>Guaranty and Purchase Price Deposits</w:t>
      </w:r>
      <w:r>
        <w:rPr/>
        <w:t>.</w:t>
      </w:r>
    </w:p>
    <w:p>
      <w:pPr>
        <w:pStyle w:val="StandardL2"/>
        <w:bidi w:val="0"/>
        <w:jc w:val="both"/>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bidi w:val="0"/>
        <w:jc w:val="both"/>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bidi w:val="0"/>
        <w:jc w:val="both"/>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w:t>
      </w:r>
      <w:r>
        <w:rPr>
          <w:b/>
          <w:u w:val="double"/>
        </w:rPr>
        <w:t>; provided, however, that no such payment by NorSub to ENA of the Additional Purchase Price Deposit shall be required or made if the Additional Purchase Price Deposit has been deposited by NorSub in the Escrow Account pursuant to Section 4(b) of this Agreement</w:t>
      </w:r>
      <w:r>
        <w:rPr/>
        <w:t>. 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bidi w:val="0"/>
        <w:jc w:val="both"/>
        <w:rPr>
          <w:rFonts w:ascii="Times New Roman" w:hAnsi="Times New Roman"/>
        </w:rPr>
      </w:pPr>
      <w:r>
        <w:rPr/>
        <w:t>(d)</w:t>
        <w:tab/>
        <w:t>Each Purchase Price Deposit shall be non-refundable by ENA, except as otherwise provided in Section 10 hereof.</w:t>
      </w:r>
    </w:p>
    <w:p>
      <w:pPr>
        <w:pStyle w:val="StandardL2"/>
        <w:bidi w:val="0"/>
        <w:jc w:val="both"/>
        <w:rPr>
          <w:rFonts w:ascii="Times New Roman" w:hAnsi="Times New Roman"/>
        </w:rPr>
      </w:pPr>
      <w:r>
        <w:rPr/>
        <w:t>(e)</w:t>
        <w:tab/>
        <w:t xml:space="preserve">Upon occurrence of the Closing, an aggregate amount equal to the sum of (i) the Initial </w:t>
      </w:r>
      <w:r>
        <w:rPr>
          <w:strike/>
        </w:rPr>
        <w:t>Purchase Price</w:t>
      </w:r>
      <w:r>
        <w:rPr/>
        <w:t xml:space="preserve"> Deposit, (ii) the </w:t>
      </w:r>
      <w:r>
        <w:rPr>
          <w:strike/>
        </w:rPr>
        <w:t>Additional</w:t>
      </w:r>
      <w:r>
        <w:rPr/>
        <w:t xml:space="preserve"> </w:t>
      </w:r>
      <w:r>
        <w:rPr>
          <w:b/>
          <w:u w:val="double"/>
        </w:rPr>
        <w:t>Initial</w:t>
      </w:r>
      <w:r>
        <w:rPr/>
        <w:t xml:space="preserve"> Purchase Price Deposit, (iii) the </w:t>
      </w:r>
      <w:r>
        <w:rPr>
          <w:b/>
          <w:u w:val="double"/>
        </w:rPr>
        <w:t>Additional Purchase Price Deposit, (iv) the</w:t>
      </w:r>
      <w:r>
        <w:rPr/>
        <w:t xml:space="preserve"> Estimated Cost of each Change Order paid by NorSub to ENA pursuant to Section 6(h) of this Agreement, and </w:t>
      </w:r>
      <w:r>
        <w:rPr>
          <w:strike/>
        </w:rPr>
        <w:t>(iv)</w:t>
      </w:r>
      <w:r>
        <w:rPr>
          <w:b/>
          <w:u w:val="double"/>
        </w:rPr>
        <w:t>(v)</w:t>
      </w:r>
      <w:r>
        <w:rPr/>
        <w:t xml:space="preserve">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bidi w:val="0"/>
        <w:jc w:val="both"/>
        <w:rPr>
          <w:rFonts w:ascii="Times New Roman" w:hAnsi="Times New Roman"/>
        </w:rPr>
      </w:pPr>
      <w:r>
        <w:rPr/>
        <w:t>6.</w:t>
        <w:tab/>
      </w:r>
      <w:r>
        <w:rPr>
          <w:b/>
        </w:rPr>
        <w:t>Pre-Closing Covenants and Agreements</w:t>
      </w:r>
      <w:r>
        <w:rPr/>
        <w:t>.    The Parties covenant and agree that, at all times prior to the Closing:</w:t>
      </w:r>
    </w:p>
    <w:p>
      <w:pPr>
        <w:pStyle w:val="StandardL2"/>
        <w:bidi w:val="0"/>
        <w:jc w:val="both"/>
        <w:rPr>
          <w:rFonts w:ascii="Times New Roman" w:hAnsi="Times New Roman"/>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w:t>
      </w:r>
      <w:r>
        <w:rPr>
          <w:b/>
          <w:u w:val="double"/>
        </w:rPr>
        <w:t>; provided, however, that ENA shall pay, or shall permit the Original Purchase and/or the Agent to pay, the final payment with respect to the First Turbine only if GE shall have caused there to be issued a Retention Letter of Credit with respect thereto</w:t>
      </w:r>
      <w:r>
        <w:rPr/>
        <w:t>. ENA shall be entitled to receive and to retain (and/or to apply as it determines in its sole discretion) all amounts paid by GE under the Original Turbine Contract prior to the Closing.</w:t>
      </w:r>
    </w:p>
    <w:p>
      <w:pPr>
        <w:pStyle w:val="StandardL2"/>
        <w:bidi w:val="0"/>
        <w:jc w:val="both"/>
        <w:rPr>
          <w:rFonts w:ascii="Times New Roman" w:hAnsi="Times New Roman"/>
        </w:rPr>
      </w:pPr>
      <w:r>
        <w:rPr/>
        <w:t>(b)</w:t>
        <w:tab/>
        <w:t xml:space="preserve">ENA shall furnish promptly to NorSub (or its agent or representative) such information concerning the Turbines, the Original Turbine Contract and the transactions thereunder as NorSub may reasonably request from time to time, including, without limitation, </w:t>
      </w:r>
      <w:r>
        <w:rPr>
          <w:b/>
          <w:u w:val="double"/>
        </w:rPr>
        <w:t>copies of all certificates evidencing the insurance carried by GE pursuant to Article XIX of the Original Turbine Contract, copies of each Retention Letter of Credit (if any) and</w:t>
      </w:r>
      <w:r>
        <w:rPr/>
        <w:t xml:space="preserve">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w:t>
      </w:r>
      <w:r>
        <w:rPr>
          <w:b/>
          <w:u w:val="double"/>
        </w:rPr>
        <w:t>(i)</w:t>
      </w:r>
      <w:r>
        <w:rPr/>
        <w:t xml:space="preserve"> ENA shall provide to NorSub notice, promptly after the Original Purchaser and/or the Agent obtains knowledge thereof, or receives notice or payment thereof, as applicable, of </w:t>
      </w:r>
      <w:r>
        <w:rPr>
          <w:strike/>
        </w:rPr>
        <w:t>(i)</w:t>
      </w:r>
      <w:r>
        <w:rPr>
          <w:b/>
          <w:u w:val="double"/>
        </w:rPr>
        <w:t>(A)</w:t>
      </w:r>
      <w:r>
        <w:rPr/>
        <w:t xml:space="preserve"> the accrual or payment of liquidated damages under the Original Turbine Contract, or </w:t>
      </w:r>
      <w:r>
        <w:rPr>
          <w:strike/>
        </w:rPr>
        <w:t>(ii)</w:t>
      </w:r>
      <w:r>
        <w:rPr>
          <w:b/>
          <w:u w:val="double"/>
        </w:rPr>
        <w:t>(B)</w:t>
      </w:r>
      <w:r>
        <w:rPr/>
        <w:t xml:space="preserve"> the assertion of any claim or entitlement by GE or any Seller Indemnitee for payment or indemnification pursuant to the Original Turbine Contract (other than for payment of Purchase Amount and taxes in respect of the sale or delivery of the Turbines</w:t>
      </w:r>
      <w:r>
        <w:rPr>
          <w:b/>
          <w:u w:val="double"/>
        </w:rPr>
        <w:t>,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r>
        <w:rPr>
          <w:strike/>
        </w:rPr>
        <w:t>).</w:t>
      </w:r>
    </w:p>
    <w:p>
      <w:pPr>
        <w:pStyle w:val="StandardL2"/>
        <w:bidi w:val="0"/>
        <w:jc w:val="both"/>
        <w:rPr>
          <w:rFonts w:ascii="Times New Roman" w:hAnsi="Times New Roman"/>
        </w:rPr>
      </w:pPr>
      <w:r>
        <w:rPr/>
        <w:t>(c)</w:t>
        <w:tab/>
        <w:t xml:space="preserve">ENA shall not, and shall not permit the Original Purchaser and/or the Agent to, </w:t>
      </w:r>
      <w:r>
        <w:rPr>
          <w:b/>
          <w:u w:val="double"/>
        </w:rPr>
        <w:t>(i)</w:t>
      </w:r>
      <w:r>
        <w:rPr/>
        <w:t xml:space="preserve"> take any action or exercise any option under or in respect of the Original Turbine Contract if such action or exercise affects the Scope of Work or the Specification, </w:t>
      </w:r>
      <w:r>
        <w:rPr>
          <w:b/>
          <w:u w:val="double"/>
        </w:rPr>
        <w:t>or (ii) enter into any written amendment, modification or supplement to or of the Original Turbine Contract,</w:t>
      </w:r>
      <w:r>
        <w:rPr/>
        <w:t xml:space="preserve"> in each case, without the prior approval of NorSub.</w:t>
      </w:r>
    </w:p>
    <w:p>
      <w:pPr>
        <w:pStyle w:val="StandardL2"/>
        <w:bidi w:val="0"/>
        <w:jc w:val="both"/>
        <w:rPr>
          <w:rFonts w:ascii="Times New Roman" w:hAnsi="Times New Roman"/>
        </w:rPr>
      </w:pPr>
      <w:r>
        <w:rPr/>
        <w:t>(d)</w:t>
        <w:tab/>
        <w:t xml:space="preserve">ENA shall </w:t>
      </w:r>
      <w:r>
        <w:rPr>
          <w:b/>
          <w:u w:val="double"/>
        </w:rPr>
        <w:t>cause the Original Purchaser and/or the Agent to</w:t>
      </w:r>
      <w:r>
        <w:rPr/>
        <w:t xml:space="preserve"> afford to NorSub (or its agent or representative) such access to, and such rights of inspection of, the First Turbine as NorSub may reasonably request </w:t>
      </w:r>
      <w:r>
        <w:rPr>
          <w:b/>
          <w:u w:val="double"/>
        </w:rPr>
        <w:t>(and as the Original Purchaser and/or the Agent may be entitled to under the Original Turbine Contract)</w:t>
      </w:r>
      <w:r>
        <w:rPr/>
        <w:t xml:space="preserve"> for purposes of engineering, design and/or construction of the Facility in which the First Turbine is intended by NorSub to be used and for purposes of determining </w:t>
      </w:r>
      <w:r>
        <w:rPr>
          <w:strike/>
        </w:rPr>
        <w:t>whether</w:t>
      </w:r>
      <w:r>
        <w:rPr/>
        <w:t xml:space="preserve"> </w:t>
      </w:r>
      <w:r>
        <w:rPr>
          <w:b/>
          <w:u w:val="double"/>
        </w:rPr>
        <w:t>the condition of</w:t>
      </w:r>
      <w:r>
        <w:rPr/>
        <w:t xml:space="preserve"> the First Turbine </w:t>
      </w:r>
      <w:r>
        <w:rPr>
          <w:strike/>
        </w:rPr>
        <w:t>is or will be in a complete and undamaged condition on and as of the Closing Date</w:t>
      </w:r>
      <w:r>
        <w:rPr/>
        <w:t>.</w:t>
      </w:r>
    </w:p>
    <w:p>
      <w:pPr>
        <w:pStyle w:val="StandardL2"/>
        <w:bidi w:val="0"/>
        <w:jc w:val="both"/>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bidi w:val="0"/>
        <w:jc w:val="both"/>
        <w:rPr>
          <w:rFonts w:ascii="Times New Roman" w:hAnsi="Times New Roman"/>
        </w:rPr>
      </w:pPr>
      <w:r>
        <w:rPr/>
        <w:t>(f)</w:t>
        <w:tab/>
        <w:t>Neither Party shall enter into any agreement containing any provisions which would be violated or breached by the performance by such Party of its obligations under this Agreement.</w:t>
      </w:r>
    </w:p>
    <w:p>
      <w:pPr>
        <w:pStyle w:val="StandardL2"/>
        <w:bidi w:val="0"/>
        <w:jc w:val="both"/>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bidi w:val="0"/>
        <w:jc w:val="both"/>
        <w:rPr>
          <w:rFonts w:ascii="Times New Roman" w:hAnsi="Times New Roman"/>
        </w:rPr>
      </w:pPr>
      <w:r>
        <w:rPr/>
        <w:t>(h)</w:t>
        <w:tab/>
        <w:t xml:space="preserve">Upon NorSub’s submission to ENA of a Change Order with respect to the Second Turbine (as though NorSub were the Purchaser or the Agent under the Original Turbine Contract), ENA shall cause the Original Purchaser and/or the Agent to consult with GE, pursuant to the provisions </w:t>
      </w:r>
      <w:r>
        <w:rPr>
          <w:strike/>
        </w:rPr>
        <w:t>set forth in</w:t>
      </w:r>
      <w:r>
        <w:rPr/>
        <w:t xml:space="preserve"> </w:t>
      </w:r>
      <w:r>
        <w:rPr>
          <w:b/>
          <w:u w:val="double"/>
        </w:rPr>
        <w:t>of</w:t>
      </w:r>
      <w:r>
        <w:rPr/>
        <w:t xml:space="preserve"> Section 11.2 of the Original Turbine Contact, concerning the estimated cost of such Change Order and the impact of such Change Order on the Guaranteed Unit Shipment Date of the Second Turbine and the Purchase Amount of the Second Turbine; and, </w:t>
      </w:r>
      <w:r>
        <w:rPr>
          <w:b/>
          <w:u w:val="double"/>
        </w:rPr>
        <w:t>promptly</w:t>
      </w:r>
      <w:r>
        <w:rPr/>
        <w:t xml:space="preserve">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w:t>
      </w:r>
      <w:r>
        <w:rPr>
          <w:strike/>
        </w:rPr>
        <w:t>(the</w:t>
      </w:r>
      <w:r>
        <w:rPr>
          <w:b/>
          <w:u w:val="double"/>
        </w:rPr>
        <w:t>(an</w:t>
      </w:r>
      <w:r>
        <w:rPr/>
        <w:t xml:space="preserve"> “</w:t>
      </w:r>
      <w:r>
        <w:rPr>
          <w:u w:val="single"/>
        </w:rPr>
        <w:t>Estimated Cost</w:t>
      </w:r>
      <w:r>
        <w:rPr/>
        <w:t>”) before GE proceeds with such Change Order</w:t>
      </w:r>
      <w:r>
        <w:rPr>
          <w:strike/>
        </w:rPr>
        <w:t>, (iv)</w:t>
      </w:r>
      <w:r>
        <w:rPr/>
        <w:t xml:space="preserve"> </w:t>
      </w:r>
      <w:r>
        <w:rPr>
          <w:b/>
          <w:u w:val="double"/>
        </w:rPr>
        <w:t>and within three (3) Business Days after receipt from ENA of an invoice therefor (accompanied by evidence from GE thereof),</w:t>
      </w:r>
      <w:r>
        <w:rPr/>
        <w:t xml:space="preserve">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t>
      </w:r>
      <w:r>
        <w:rPr>
          <w:strike/>
        </w:rPr>
        <w:t>promptly</w:t>
      </w:r>
      <w:r>
        <w:rPr/>
        <w:t xml:space="preserve"> </w:t>
      </w:r>
      <w:r>
        <w:rPr>
          <w:b/>
          <w:u w:val="double"/>
        </w:rPr>
        <w:t>within three (3) Business Days</w:t>
      </w:r>
      <w:r>
        <w:rPr/>
        <w:t xml:space="preserve">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bidi w:val="0"/>
        <w:jc w:val="both"/>
        <w:rPr>
          <w:rFonts w:ascii="Times New Roman" w:hAnsi="Times New Roman"/>
        </w:rPr>
      </w:pPr>
      <w:r>
        <w:rPr/>
        <w:t>(i)</w:t>
        <w:tab/>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w:t>
      </w:r>
      <w:r>
        <w:rPr>
          <w:strike/>
        </w:rPr>
        <w:t>such</w:t>
      </w:r>
      <w:r>
        <w:rPr/>
        <w:t xml:space="preserve"> </w:t>
      </w:r>
      <w:r>
        <w:rPr>
          <w:b/>
          <w:u w:val="double"/>
        </w:rPr>
        <w:t>the</w:t>
      </w:r>
      <w:r>
        <w:rPr/>
        <w:t xml:space="preserve"> opportunity or opportunities to discuss with GE (or to consult with GE concerning) matters (including, without limitation, Change Orders) pertaining solely to the design, engineering, </w:t>
      </w:r>
      <w:r>
        <w:rPr>
          <w:strike/>
        </w:rPr>
        <w:t>consultation</w:t>
      </w:r>
      <w:r>
        <w:rPr/>
        <w:t xml:space="preserve"> </w:t>
      </w:r>
      <w:r>
        <w:rPr>
          <w:b/>
          <w:u w:val="double"/>
        </w:rPr>
        <w:t>construction</w:t>
      </w:r>
      <w:r>
        <w:rPr/>
        <w:t xml:space="preserve">, delivery, installation, </w:t>
      </w:r>
      <w:r>
        <w:rPr>
          <w:b/>
          <w:u w:val="double"/>
        </w:rPr>
        <w:t>location,</w:t>
      </w:r>
      <w:r>
        <w:rPr/>
        <w:t xml:space="preserve"> operation, use, maintenance, servicing </w:t>
      </w:r>
      <w:r>
        <w:rPr>
          <w:strike/>
        </w:rPr>
        <w:t>and</w:t>
      </w:r>
      <w:r>
        <w:rPr/>
        <w:t xml:space="preserve"> </w:t>
      </w:r>
      <w:r>
        <w:rPr>
          <w:b/>
          <w:u w:val="double"/>
        </w:rPr>
        <w:t>and/or</w:t>
      </w:r>
      <w:r>
        <w:rPr/>
        <w:t xml:space="preserve"> repair </w:t>
      </w:r>
      <w:r>
        <w:rPr>
          <w:b/>
          <w:u w:val="double"/>
        </w:rPr>
        <w:t>of either or both</w:t>
      </w:r>
      <w:r>
        <w:rPr/>
        <w:t xml:space="preserve">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bidi w:val="0"/>
        <w:jc w:val="both"/>
        <w:rPr>
          <w:rFonts w:ascii="Times New Roman" w:hAnsi="Times New Roman"/>
        </w:rPr>
      </w:pPr>
      <w:r>
        <w:rPr/>
        <w:t>(j)</w:t>
        <w:tab/>
        <w:t xml:space="preserve">If (prior to the funding of the Escrow Account in accordance with </w:t>
      </w:r>
      <w:r>
        <w:rPr>
          <w:b/>
          <w:u w:val="double"/>
        </w:rPr>
        <w:t>the first sentence of</w:t>
      </w:r>
      <w:r>
        <w:rPr/>
        <w:t xml:space="preserve"> Section </w:t>
      </w:r>
      <w:r>
        <w:rPr>
          <w:strike/>
        </w:rPr>
        <w:t>4(c)</w:t>
      </w:r>
      <w:r>
        <w:rPr/>
        <w:t xml:space="preserve"> </w:t>
      </w:r>
      <w:r>
        <w:rPr>
          <w:b/>
          <w:u w:val="double"/>
        </w:rPr>
        <w:t>4(b)</w:t>
      </w:r>
      <w:r>
        <w:rPr/>
        <w:t xml:space="preserve"> of this Agreement) the ratings assigned by Moody’s Investors Service, Inc. and Standard &amp; Poor’s Ratings Service to any of the long-term, unsecured and unenhanced debt obligations of NorthWestern are reduced to below </w:t>
      </w:r>
      <w:r>
        <w:rPr>
          <w:strike/>
        </w:rPr>
        <w:t>BAA3</w:t>
      </w:r>
      <w:r>
        <w:rPr/>
        <w:t xml:space="preserve"> </w:t>
      </w:r>
      <w:r>
        <w:rPr>
          <w:b/>
          <w:u w:val="double"/>
        </w:rPr>
        <w:t>Baa3</w:t>
      </w:r>
      <w:r>
        <w:rPr/>
        <w:t xml:space="preserve"> and BBB-, respectively, then, within fifteen (15) days after receipt by NorSub of notice of such reductions, NorSub shall cause to be delivered to ENA an irrevocable letter of credit (or </w:t>
      </w:r>
      <w:r>
        <w:rPr>
          <w:b/>
          <w:u w:val="double"/>
        </w:rPr>
        <w:t>a guaranty or</w:t>
      </w:r>
      <w:r>
        <w:rPr/>
        <w:t xml:space="preserve"> other form of credit enhancement acceptable to ENA) to support the payment obligations of NorSub under this Agreement and the LLC Agreement </w:t>
      </w:r>
      <w:r>
        <w:rPr>
          <w:b/>
          <w:u w:val="double"/>
        </w:rPr>
        <w:t>(to the same extent as such payment obligations are supported by the NorthWestern Agreement Guaranty)</w:t>
      </w:r>
      <w:r>
        <w:rPr/>
        <w:t xml:space="preserve"> that is issued by a bank or other financial institution (or other Person acceptable to ENA) having long-term, unsecured and unenhanced debt obligations that are rated at least </w:t>
      </w:r>
      <w:r>
        <w:rPr>
          <w:strike/>
        </w:rPr>
        <w:t>BAA3</w:t>
      </w:r>
      <w:r>
        <w:rPr/>
        <w:t xml:space="preserve"> </w:t>
      </w:r>
      <w:r>
        <w:rPr>
          <w:b/>
          <w:u w:val="double"/>
        </w:rPr>
        <w:t>Baa3</w:t>
      </w:r>
      <w:r>
        <w:rPr/>
        <w:t xml:space="preserve"> and BBB- by Moody’s Investors Service, Inc. and Standard &amp; Poor’s Ratings Service, respectively.</w:t>
      </w:r>
    </w:p>
    <w:p>
      <w:pPr>
        <w:pStyle w:val="StandardL1"/>
        <w:bidi w:val="0"/>
        <w:jc w:val="both"/>
        <w:rPr>
          <w:rFonts w:ascii="Times New Roman" w:hAnsi="Times New Roman"/>
        </w:rPr>
      </w:pPr>
      <w:r>
        <w:rPr/>
        <w:t>7.</w:t>
        <w:tab/>
      </w:r>
      <w:r>
        <w:rPr>
          <w:b/>
        </w:rPr>
        <w:t>Closing Conditions</w:t>
      </w:r>
      <w:r>
        <w:rPr/>
        <w:t>.</w:t>
      </w:r>
    </w:p>
    <w:p>
      <w:pPr>
        <w:pStyle w:val="StandardL2"/>
        <w:bidi w:val="0"/>
        <w:jc w:val="both"/>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bidi w:val="0"/>
        <w:jc w:val="both"/>
        <w:rPr>
          <w:rFonts w:ascii="Times New Roman" w:hAnsi="Times New Roman"/>
        </w:rPr>
      </w:pPr>
      <w:r>
        <w:rPr/>
        <w:t>(i)</w:t>
        <w:tab/>
        <w:t>Each of ENA’s representations and warranties in this Agreement shall be true and correct on and as of the Closing Date as if made on and as of the Closing Date</w:t>
      </w:r>
      <w:r>
        <w:rPr>
          <w:b/>
          <w:u w:val="double"/>
        </w:rPr>
        <w:t>, the Original Purchaser and/or ENA shall have paid all installments of Purchase Amount and all other amounts, in each case, that became due and payable by the Original Purchaser and/or the Agent under and in accordance with the Original Turbine Contract prior to the Closing Date</w:t>
      </w:r>
      <w:r>
        <w:rPr/>
        <w:t xml:space="preserv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bidi w:val="0"/>
        <w:jc w:val="both"/>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bidi w:val="0"/>
        <w:jc w:val="both"/>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bidi w:val="0"/>
        <w:jc w:val="both"/>
        <w:rPr>
          <w:rFonts w:ascii="Times New Roman" w:hAnsi="Times New Roman"/>
        </w:rPr>
      </w:pPr>
      <w:r>
        <w:rPr/>
        <w:t>(i)</w:t>
        <w:tab/>
        <w:t xml:space="preserve">Each of NorSub’s representations and warranties in this Agreement shall be true and correct on and as of the Closing Date as if made on and as of the Closing Date, NorSub shall have funded the Escrow Account in the amount required by Section </w:t>
      </w:r>
      <w:r>
        <w:rPr>
          <w:strike/>
        </w:rPr>
        <w:t>4(c)</w:t>
      </w:r>
      <w:r>
        <w:rPr/>
        <w:t xml:space="preserve"> </w:t>
      </w:r>
      <w:r>
        <w:rPr>
          <w:b/>
          <w:u w:val="double"/>
        </w:rPr>
        <w:t>4(b)</w:t>
      </w:r>
      <w:r>
        <w:rPr/>
        <w:t xml:space="preserve">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StandardL3"/>
        <w:bidi w:val="0"/>
        <w:jc w:val="both"/>
        <w:rPr>
          <w:rFonts w:ascii="Times New Roman" w:hAnsi="Times New Roman"/>
        </w:rPr>
      </w:pPr>
      <w:r>
        <w:rPr/>
        <w:t>(ii)</w:t>
        <w:tab/>
        <w:t xml:space="preserve">Each document required to be executed and/or delivered by NorSub (or which Nor Sub is required to cause to be executed and/or delivered) pursuant to Section 2 and </w:t>
      </w:r>
      <w:r>
        <w:rPr>
          <w:strike/>
        </w:rPr>
        <w:t>Section 8(e)</w:t>
      </w:r>
      <w:r>
        <w:rPr/>
        <w:t xml:space="preserve"> </w:t>
      </w:r>
      <w:r>
        <w:rPr>
          <w:b/>
          <w:u w:val="double"/>
        </w:rPr>
        <w:t>Section 8(f)</w:t>
      </w:r>
      <w:r>
        <w:rPr/>
        <w:t xml:space="preserve"> hereof shall have been executed and/or delivered.</w:t>
      </w:r>
    </w:p>
    <w:p>
      <w:pPr>
        <w:pStyle w:val="StandardL1"/>
        <w:bidi w:val="0"/>
        <w:jc w:val="both"/>
        <w:rPr>
          <w:rFonts w:ascii="Times New Roman" w:hAnsi="Times New Roman"/>
        </w:rPr>
      </w:pPr>
      <w:r>
        <w:rPr/>
        <w:t>8.</w:t>
        <w:tab/>
      </w:r>
      <w:r>
        <w:rPr>
          <w:b/>
        </w:rPr>
        <w:t>Post-Closing Covenants and Agreements</w:t>
      </w:r>
      <w:r>
        <w:rPr/>
        <w:t>.    The Parties covenant and agree that, upon and after the Closing:</w:t>
      </w:r>
    </w:p>
    <w:p>
      <w:pPr>
        <w:pStyle w:val="StandardL2"/>
        <w:bidi w:val="0"/>
        <w:jc w:val="both"/>
        <w:rPr>
          <w:rFonts w:ascii="Times New Roman" w:hAnsi="Times New Roman"/>
          <w:b/>
          <w:u w:val="double"/>
        </w:rPr>
      </w:pPr>
      <w:r>
        <w:rPr/>
        <w:t>(a)</w:t>
        <w:tab/>
        <w:t xml:space="preserve">ENA agrees to be responsible for, and to pay to GE when due, and to hold the LLC and NorSub harmless from and against, (i) any and all installments </w:t>
      </w:r>
      <w:r>
        <w:rPr>
          <w:strike/>
        </w:rPr>
        <w:t>or other amounts</w:t>
      </w:r>
      <w:r>
        <w:rPr/>
        <w:t xml:space="preserve"> of the Purchase Amount of the Turbines which become due and payable on and after the Closing Date under and in accordance with the Turbine Contract (as in effect on the Closing Date)</w:t>
      </w:r>
      <w:r>
        <w:rPr>
          <w:strike/>
        </w:rPr>
        <w:t>, other than (A) any such installments or</w:t>
      </w:r>
      <w:r>
        <w:rPr/>
        <w:t xml:space="preserve"> </w:t>
      </w:r>
      <w:r>
        <w:rPr>
          <w:b/>
          <w:u w:val="double"/>
        </w:rPr>
        <w:t>as such installments are set forth on Schedule II</w:t>
      </w:r>
      <w:r>
        <w:rPr/>
        <w:t xml:space="preserve"> </w:t>
      </w:r>
      <w:r>
        <w:rPr>
          <w:b/>
          <w:u w:val="double"/>
        </w:rPr>
        <w:t>attached hereto (such installments being referred to herein, collectively, as the “Remaining Purchase Amount Installments” and, individually, as a “Remaining Purchase Amount Installment”), and (ii) any</w:t>
      </w:r>
      <w:r>
        <w:rPr/>
        <w:t xml:space="preserve"> other amounts of Purchase Amount </w:t>
      </w:r>
      <w:r>
        <w:rPr>
          <w:b/>
          <w:u w:val="double"/>
        </w:rPr>
        <w:t>of the Turbines and any damages or indemnification payments</w:t>
      </w:r>
      <w:r>
        <w:rPr/>
        <w:t xml:space="preserve"> which become due and payable </w:t>
      </w:r>
      <w:r>
        <w:rPr>
          <w:strike/>
        </w:rPr>
        <w:t>on and after the Closing Date</w:t>
      </w:r>
      <w:r>
        <w:rPr/>
        <w:t xml:space="preserve"> </w:t>
      </w:r>
      <w:r>
        <w:rPr>
          <w:b/>
          <w:u w:val="double"/>
        </w:rPr>
        <w:t>to GE or any Seller Indemnitee</w:t>
      </w:r>
      <w:r>
        <w:rPr/>
        <w:t xml:space="preserve"> under and in accordance with the Turbine Contract </w:t>
      </w:r>
      <w:r>
        <w:rPr>
          <w:strike/>
        </w:rPr>
        <w:t>as a result of (I) any act or omission by the LLC, NorSub, any Affiliate of NorSub or any other Person (other than ENA or an Affiliate of ENA) occurring on or</w:t>
      </w:r>
      <w:r>
        <w:rPr/>
        <w:t xml:space="preserve"> </w:t>
      </w:r>
      <w:r>
        <w:rPr>
          <w:b/>
          <w:u w:val="double"/>
        </w:rPr>
        <w:t>on and</w:t>
      </w:r>
      <w:r>
        <w:rPr/>
        <w:t xml:space="preserve"> after the Closing Date, </w:t>
      </w:r>
      <w:r>
        <w:rPr>
          <w:strike/>
        </w:rPr>
        <w:t>or (II) any other event occurring, or any other circumstance arising, on or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w:t>
      </w:r>
      <w:r>
        <w:rPr/>
        <w:t xml:space="preserve"> </w:t>
      </w:r>
      <w:r>
        <w:rPr>
          <w:b/>
          <w:u w:val="double"/>
        </w:rPr>
        <w:t>in each case,</w:t>
      </w:r>
      <w:r>
        <w:rPr/>
        <w:t xml:space="preserve"> as a result of an act or omission of the Original Purchaser </w:t>
      </w:r>
      <w:r>
        <w:rPr>
          <w:b/>
          <w:u w:val="double"/>
        </w:rPr>
        <w:t>(or any of its predecessors as “Purchaser” under the Original Turbine Contract as in effect prior to the Original Purchaser becoming a party thereto)</w:t>
      </w:r>
      <w:r>
        <w:rPr/>
        <w:t xml:space="preserve"> and/or the Agent occurring prior to the Closing Date </w:t>
      </w:r>
      <w:r>
        <w:rPr>
          <w:b/>
          <w:u w:val="double"/>
        </w:rPr>
        <w:t>(other than the costs, if any, of each Change Order implemented by the Original Purchaser and/or the Agent at the request of NorSub pursuant to Section 6(h) of this Agreement that are not paid by NorSub (or the LLC) to ENA as the Estimated Cost and the Excess Cost of such Change Order); provided, however,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w:t>
      </w:r>
    </w:p>
    <w:p>
      <w:pPr>
        <w:pStyle w:val="StandardL2"/>
        <w:bidi w:val="0"/>
        <w:jc w:val="both"/>
        <w:rPr>
          <w:rFonts w:ascii="Times New Roman" w:hAnsi="Times New Roman"/>
          <w:b/>
          <w:u w:val="double"/>
        </w:rPr>
      </w:pPr>
      <w:r>
        <w:rPr>
          <w:b/>
          <w:u w:val="double"/>
        </w:rPr>
        <w:t>(b)</w:t>
      </w:r>
      <w:r>
        <w:rPr/>
        <w:tab/>
      </w:r>
      <w:r>
        <w:rPr>
          <w:b/>
          <w:u w:val="double"/>
        </w:rPr>
        <w:t>ENA agrees that if the Call Right or the Put Right is exercised prior to the payment by ENA to GE of all of the Remaining Unpaid Purchase Amount Installments, ENA will pay to the LLC, on the date of exercise of the Call Right or the Put Right, an amount (the “Remaining Purchase Amount Refund Amount”)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Schedule II</w:t>
      </w:r>
      <w:r>
        <w:rPr/>
        <w:t xml:space="preserve"> </w:t>
      </w:r>
      <w:r>
        <w:rPr>
          <w:b/>
          <w:u w:val="double"/>
        </w:rPr>
        <w:t>attached hereto); provided, however, that, with the prior written consent of NorSub (to be given or withheld by NorSub in its sole discretion), in lieu of paying the Remaining Purchase Amount Refund Amount to the LLC on the date of exercise of the Call Right or the Put Right, ENA may pay to GE (the “GE Accelerated Payment”)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bidi w:val="0"/>
        <w:jc w:val="both"/>
        <w:rPr>
          <w:rFonts w:ascii="Times New Roman" w:hAnsi="Times New Roman"/>
          <w:strike/>
        </w:rPr>
      </w:pPr>
      <w:r>
        <w:rPr>
          <w:b/>
          <w:u w:val="double"/>
        </w:rPr>
        <w:t>(c)</w:t>
      </w:r>
    </w:p>
    <w:p>
      <w:pPr>
        <w:pStyle w:val="StandardL2"/>
        <w:bidi w:val="0"/>
        <w:jc w:val="both"/>
        <w:rPr>
          <w:rFonts w:ascii="Times New Roman" w:hAnsi="Times New Roman"/>
        </w:rPr>
      </w:pPr>
      <w:r>
        <w:rPr>
          <w:strike/>
        </w:rPr>
        <w:t>(b)</w:t>
      </w:r>
      <w:r>
        <w:rPr/>
        <w:tab/>
        <w:t xml:space="preserve">NorSub agrees to be responsible for, and to hold the LLC and ENA harmless from and against, payment of (i) any and all amounts which become due and payable </w:t>
      </w:r>
      <w:r>
        <w:rPr>
          <w:strike/>
        </w:rPr>
        <w:t>to GE or any Seller Indemnitee</w:t>
      </w:r>
      <w:r>
        <w:rPr/>
        <w:t xml:space="preserve"> </w:t>
      </w:r>
      <w:r>
        <w:rPr>
          <w:b/>
          <w:u w:val="double"/>
        </w:rPr>
        <w:t>on and after the Closing Date</w:t>
      </w:r>
      <w:r>
        <w:rPr/>
        <w:t xml:space="preserve"> under and in accordance with the Turbine Contract </w:t>
      </w:r>
      <w:r>
        <w:rPr>
          <w:strike/>
        </w:rPr>
        <w:t>after the Closing Date</w:t>
      </w:r>
      <w:r>
        <w:rPr/>
        <w:t xml:space="preserve">, other than any amounts for which ENA is responsible pursuant to </w:t>
      </w:r>
      <w:r>
        <w:rPr>
          <w:strike/>
        </w:rPr>
        <w:t>paragraph</w:t>
      </w:r>
      <w:r>
        <w:rPr/>
        <w:t xml:space="preserve"> </w:t>
      </w:r>
      <w:r>
        <w:rPr>
          <w:b/>
          <w:u w:val="double"/>
        </w:rPr>
        <w:t>Section</w:t>
      </w:r>
      <w:r>
        <w:rPr/>
        <w:t xml:space="preserve"> 8(a) hereof, and (ii) any and all sales, transfer, use, ad valorem and other taxes which might arise in connection with the sale, transfer, assignment or ownership of the Turbines.    </w:t>
      </w:r>
    </w:p>
    <w:p>
      <w:pPr>
        <w:pStyle w:val="StandardL2"/>
        <w:bidi w:val="0"/>
        <w:jc w:val="both"/>
        <w:rPr>
          <w:rFonts w:ascii="Times New Roman" w:hAnsi="Times New Roman"/>
        </w:rPr>
      </w:pPr>
      <w:r>
        <w:rPr>
          <w:strike/>
        </w:rPr>
        <w:t>(c)</w:t>
      </w:r>
      <w:r>
        <w:rPr>
          <w:b/>
          <w:u w:val="double"/>
        </w:rPr>
        <w:t>(d)</w:t>
      </w:r>
      <w:r>
        <w:rPr/>
        <w:tab/>
        <w:t xml:space="preserve">NorSub agrees to cause the LLC to pay to ENA any amounts of </w:t>
      </w:r>
      <w:r>
        <w:rPr>
          <w:strike/>
        </w:rPr>
        <w:t xml:space="preserve">liquidated damages that are received by </w:t>
      </w:r>
      <w:r>
        <w:rPr>
          <w:b/>
          <w:u w:val="double"/>
        </w:rPr>
        <w:t>Delivery Liquidated Damages with respect to the First Turbine that are paid by GE to</w:t>
      </w:r>
      <w:r>
        <w:rPr/>
        <w:t xml:space="preserve"> the LLC under and pursuant to the Turbine Contract on and after the Closing Date but </w:t>
      </w:r>
      <w:r>
        <w:rPr>
          <w:strike/>
        </w:rPr>
        <w:t>that accrued under and pursuant to the Turbine Contract prior to the Closing Date or</w:t>
      </w:r>
      <w:r>
        <w:rPr/>
        <w:t xml:space="preserve"> that are so paid by reason of events that occurred, or circumstances that prevailed, </w:t>
      </w:r>
      <w:r>
        <w:rPr>
          <w:b/>
          <w:u w:val="double"/>
        </w:rPr>
        <w:t>with respect to the First Turbine</w:t>
      </w:r>
      <w:r>
        <w:rPr/>
        <w:t xml:space="preserve"> prior to the Closing Date.</w:t>
      </w:r>
    </w:p>
    <w:p>
      <w:pPr>
        <w:pStyle w:val="StandardL2"/>
        <w:bidi w:val="0"/>
        <w:jc w:val="both"/>
        <w:rPr>
          <w:rFonts w:ascii="Times New Roman" w:hAnsi="Times New Roman"/>
        </w:rPr>
      </w:pPr>
      <w:r>
        <w:rPr>
          <w:strike/>
        </w:rPr>
        <w:t>(d)</w:t>
      </w:r>
      <w:r>
        <w:rPr>
          <w:b/>
          <w:u w:val="double"/>
        </w:rPr>
        <w:t>(e)</w:t>
      </w:r>
      <w:r>
        <w:rPr/>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bidi w:val="0"/>
        <w:jc w:val="both"/>
        <w:rPr>
          <w:rFonts w:ascii="Times New Roman" w:hAnsi="Times New Roman"/>
        </w:rPr>
      </w:pPr>
      <w:r>
        <w:rPr>
          <w:strike/>
        </w:rPr>
        <w:t>(e)</w:t>
      </w:r>
      <w:r>
        <w:rPr>
          <w:b/>
          <w:u w:val="double"/>
        </w:rPr>
        <w:t>(f)</w:t>
      </w:r>
      <w:r>
        <w:rPr/>
        <w:tab/>
        <w:t xml:space="preserve">At all times prior to the exercise of either the Call Right </w:t>
      </w:r>
      <w:r>
        <w:rPr>
          <w:strike/>
        </w:rPr>
        <w:t>(as defined in the LLC Agreement)</w:t>
      </w:r>
      <w:r>
        <w:rPr/>
        <w:t xml:space="preserve"> or the Put Right</w:t>
      </w:r>
      <w:r>
        <w:rPr>
          <w:strike/>
        </w:rPr>
        <w:t>(as defined in the LLC Agreement)</w:t>
      </w:r>
      <w:r>
        <w:rPr/>
        <w: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bidi w:val="0"/>
        <w:jc w:val="both"/>
        <w:rPr>
          <w:rFonts w:ascii="Times New Roman" w:hAnsi="Times New Roman"/>
        </w:rPr>
      </w:pPr>
      <w:r>
        <w:rPr/>
        <w:t>9.</w:t>
        <w:tab/>
      </w:r>
      <w:r>
        <w:rPr>
          <w:b/>
        </w:rPr>
        <w:t>Term</w:t>
      </w:r>
      <w:r>
        <w:rPr/>
        <w:t xml:space="preserve">. 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w:t>
      </w:r>
      <w:r>
        <w:rPr>
          <w:strike/>
        </w:rPr>
        <w:t>December 31</w:t>
      </w:r>
      <w:r>
        <w:rPr/>
        <w:t xml:space="preserve"> </w:t>
      </w:r>
      <w:r>
        <w:rPr>
          <w:b/>
          <w:u w:val="double"/>
        </w:rPr>
        <w:t>December 31</w:t>
      </w:r>
      <w:r>
        <w:rPr/>
        <w:t>,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bidi w:val="0"/>
        <w:jc w:val="both"/>
        <w:rPr>
          <w:rFonts w:ascii="Times New Roman" w:hAnsi="Times New Roman"/>
        </w:rPr>
      </w:pPr>
      <w:r>
        <w:rPr/>
        <w:t>10.</w:t>
        <w:tab/>
      </w:r>
      <w:r>
        <w:rPr>
          <w:b/>
        </w:rPr>
        <w:t>Termination</w:t>
      </w:r>
      <w:r>
        <w:rPr/>
        <w:t>.</w:t>
      </w:r>
    </w:p>
    <w:p>
      <w:pPr>
        <w:pStyle w:val="StandardL2"/>
        <w:bidi w:val="0"/>
        <w:jc w:val="both"/>
        <w:rPr>
          <w:rFonts w:ascii="Times New Roman" w:hAnsi="Times New Roman"/>
        </w:rPr>
      </w:pPr>
      <w:r>
        <w:rPr/>
        <w:t>(a)</w:t>
        <w:tab/>
        <w:t xml:space="preserve">ENA shall have the right to terminate this Agreement, at any time prior to the Closing, by written notice to NorSub, if (i) ENA has determined, in good faith, and on the basis of discussions and negotiations with GE, that ENA will be unable to </w:t>
      </w:r>
      <w:r>
        <w:rPr>
          <w:strike/>
        </w:rPr>
        <w:t>execute and deliver, or</w:t>
      </w:r>
      <w:r>
        <w:rPr/>
        <w:t xml:space="preserve"> cause to be executed and delivered</w:t>
      </w:r>
      <w:r>
        <w:rPr>
          <w:strike/>
        </w:rPr>
        <w:t>, any</w:t>
      </w:r>
      <w:r>
        <w:rPr/>
        <w:t xml:space="preserve"> </w:t>
      </w:r>
      <w:r>
        <w:rPr>
          <w:b/>
          <w:u w:val="double"/>
        </w:rPr>
        <w:t>the</w:t>
      </w:r>
      <w:r>
        <w:rPr/>
        <w:t xml:space="preserve"> document which ENA is required to </w:t>
      </w:r>
      <w:r>
        <w:rPr>
          <w:strike/>
        </w:rPr>
        <w:t>execute and deliver, or</w:t>
      </w:r>
      <w:r>
        <w:rPr/>
        <w:t xml:space="preserve"> cause to be executed and delivered</w:t>
      </w:r>
      <w:r>
        <w:rPr>
          <w:strike/>
        </w:rPr>
        <w:t>,</w:t>
      </w:r>
      <w:r>
        <w:rPr/>
        <w:t xml:space="preserve"> pursuant to </w:t>
      </w:r>
      <w:r>
        <w:rPr>
          <w:strike/>
        </w:rPr>
        <w:t>clauses</w:t>
      </w:r>
      <w:r>
        <w:rPr/>
        <w:t xml:space="preserve"> </w:t>
      </w:r>
      <w:r>
        <w:rPr>
          <w:b/>
          <w:u w:val="double"/>
        </w:rPr>
        <w:t>clause</w:t>
      </w:r>
      <w:r>
        <w:rPr/>
        <w:t xml:space="preserve"> (ii)</w:t>
      </w:r>
      <w:r>
        <w:rPr>
          <w:strike/>
        </w:rPr>
        <w:t>, (iii) or (iv)</w:t>
      </w:r>
      <w:r>
        <w:rPr/>
        <w:t xml:space="preserve"> of Section 2(a) of this Agreement, (ii) ENA has notified NorSub in writing of such determination by ENA (and has </w:t>
      </w:r>
      <w:r>
        <w:rPr>
          <w:strike/>
        </w:rPr>
        <w:t>identified</w:t>
      </w:r>
      <w:r>
        <w:rPr/>
        <w:t xml:space="preserve"> </w:t>
      </w:r>
      <w:r>
        <w:rPr>
          <w:b/>
          <w:u w:val="double"/>
        </w:rPr>
        <w:t>described in reasonable detail</w:t>
      </w:r>
      <w:r>
        <w:rPr/>
        <w:t xml:space="preserve"> in such written notice the </w:t>
      </w:r>
      <w:r>
        <w:rPr>
          <w:strike/>
        </w:rPr>
        <w:t>document which ENA will be unable to execute and deliver or cause to be executed and delivered and has described in such written notice the</w:t>
      </w:r>
      <w:r>
        <w:rPr/>
        <w:t xml:space="preserve"> basis for such determination), and (iii) within three (3) </w:t>
      </w:r>
      <w:r>
        <w:rPr>
          <w:strike/>
        </w:rPr>
        <w:t>business days</w:t>
      </w:r>
      <w:r>
        <w:rPr/>
        <w:t xml:space="preserve"> </w:t>
      </w:r>
      <w:r>
        <w:rPr>
          <w:b/>
          <w:u w:val="double"/>
        </w:rPr>
        <w:t>Business Days</w:t>
      </w:r>
      <w:r>
        <w:rPr/>
        <w:t xml:space="preserve"> after receipt of such written notice from ENA, NorSub has not waived the requirement that ENA </w:t>
      </w:r>
      <w:r>
        <w:rPr>
          <w:strike/>
        </w:rPr>
        <w:t>execute and deliver, or</w:t>
      </w:r>
      <w:r>
        <w:rPr/>
        <w:t xml:space="preserve"> cause to be executed</w:t>
      </w:r>
      <w:r>
        <w:rPr>
          <w:strike/>
        </w:rPr>
        <w:t>,</w:t>
      </w:r>
      <w:r>
        <w:rPr/>
        <w:t xml:space="preserve"> </w:t>
      </w:r>
      <w:r>
        <w:rPr>
          <w:b/>
          <w:u w:val="double"/>
        </w:rPr>
        <w:t>and delivered</w:t>
      </w:r>
      <w:r>
        <w:rPr/>
        <w:t xml:space="preserve"> the document which ENA has determined ENA will be unable to </w:t>
      </w:r>
      <w:r>
        <w:rPr>
          <w:strike/>
        </w:rPr>
        <w:t>deliver or</w:t>
      </w:r>
      <w:r>
        <w:rPr/>
        <w:t xml:space="preserve"> cause to be executed and delivered.    </w:t>
      </w:r>
      <w:r>
        <w:rPr>
          <w:strike/>
        </w:rPr>
        <w:t>If NorSub waives the requirement that ENA execute and deliver, or cause to be executed and delivered, the document described in clause (iii) of Section 2(a) of this Agreement, then, in lieu thereof, ENA shall deliver copies of all certificates of insurance which GE delivered to the Original Purchaser and the Agent pursuant to the Original Turbine Contract. If NorSub waives the requirement that ENA execute and deliver, or cause to be executed and delivered, the document described in clause (iv) of Section 2(a) of this Agreement, then, in lieu thereof, ENA shall deliver the Retention Letter of Credit which GE delivered to the Original Purchaser and/or the Agent pursuant to the Original Turbine Contract.</w:t>
      </w:r>
      <w:r>
        <w:rPr/>
        <w:t xml:space="preserve"> In the event this Agreement is terminated by ENA pursuant to this Section 10(a), as its sole and exclusive remedy, NorSub shall be entitled to the immediate refund of all Purchase Price Deposits made by NorSub </w:t>
      </w:r>
      <w:r>
        <w:rPr>
          <w:b/>
          <w:u w:val="double"/>
        </w:rPr>
        <w:t>(whether paid directly to ENA or deposited in the Escrow Account and paid therefrom to ENA)</w:t>
      </w:r>
      <w:r>
        <w:rPr/>
        <w:t xml:space="preserve"> and to the immediate return of all moneys (including interest earnings </w:t>
      </w:r>
      <w:r>
        <w:rPr>
          <w:strike/>
        </w:rPr>
        <w:t>)</w:t>
      </w:r>
      <w:r>
        <w:rPr/>
        <w:t xml:space="preserve"> </w:t>
      </w:r>
      <w:r>
        <w:rPr>
          <w:b/>
          <w:u w:val="double"/>
        </w:rPr>
        <w:t>and, if applicable, the Additional Purchase Price Deposit)</w:t>
      </w:r>
      <w:r>
        <w:rPr/>
        <w:t>, if any, on deposit in the Escrow Account.</w:t>
      </w:r>
    </w:p>
    <w:p>
      <w:pPr>
        <w:pStyle w:val="StandardL2"/>
        <w:bidi w:val="0"/>
        <w:jc w:val="both"/>
        <w:rPr>
          <w:rFonts w:ascii="Times New Roman" w:hAnsi="Times New Roman"/>
        </w:rPr>
      </w:pPr>
      <w:r>
        <w:rPr/>
        <w:t>(b)</w:t>
        <w:tab/>
        <w:t xml:space="preserve">ENA shall have the right to terminate this Agreement, at any time prior to the Closing, by written notice to NorSub, if (i) NorSub breaches its covenant contained in Section 6(j) of this Agreement, (ii) NorSub fails to give notice pursuant to </w:t>
      </w:r>
      <w:r>
        <w:rPr>
          <w:b/>
          <w:u w:val="double"/>
        </w:rPr>
        <w:t>and in accordance with</w:t>
      </w:r>
      <w:r>
        <w:rPr/>
        <w:t xml:space="preserve"> Section 3 of this Agreement </w:t>
      </w:r>
      <w:r>
        <w:rPr>
          <w:b/>
          <w:u w:val="double"/>
        </w:rPr>
        <w:t>of a Specified Closing Date occurring</w:t>
      </w:r>
      <w:r>
        <w:rPr/>
        <w:t xml:space="preserve"> on or prior to August 15, 2001 </w:t>
      </w:r>
      <w:r>
        <w:rPr>
          <w:strike/>
        </w:rPr>
        <w:t>of a Specified Closing Date occurring on or prior to September 15, 2001</w:t>
      </w:r>
      <w:r>
        <w:rPr/>
        <w:t>, (iii)    NorSub fails to fund the Escrow Account at the time</w:t>
      </w:r>
      <w:r>
        <w:rPr>
          <w:b/>
          <w:u w:val="double"/>
        </w:rPr>
        <w:t>(s)</w:t>
      </w:r>
      <w:r>
        <w:rPr/>
        <w:t xml:space="preserve"> and in the amount</w:t>
      </w:r>
      <w:r>
        <w:rPr>
          <w:b/>
          <w:u w:val="double"/>
        </w:rPr>
        <w:t>(s)</w:t>
      </w:r>
      <w:r>
        <w:rPr/>
        <w:t xml:space="preserve"> required by Section 4(b) of this Agreement, (iv) NorSub fails to make the Additional Purchase Price Deposit at the time and in the amount required by Section 5(c) of this Agreement, </w:t>
      </w:r>
      <w:r>
        <w:rPr>
          <w:strike/>
        </w:rPr>
        <w:t xml:space="preserve">or (v) </w:t>
      </w:r>
      <w:r>
        <w:rPr>
          <w:b/>
          <w:u w:val="double"/>
        </w:rPr>
        <w:t>(v) NorSub fails to pay to ENA an Estimated Cost or an Excess Cost at the time and in the amount required by Section 6(h) of this Agreement, or (vi)</w:t>
      </w:r>
      <w:r>
        <w:rPr/>
        <w:t xml:space="preserve">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w:t>
      </w:r>
      <w:r>
        <w:rPr>
          <w:strike/>
        </w:rPr>
        <w:t>)</w:t>
      </w:r>
      <w:r>
        <w:rPr/>
        <w:t xml:space="preserve"> </w:t>
      </w:r>
      <w:r>
        <w:rPr>
          <w:b/>
          <w:u w:val="double"/>
        </w:rPr>
        <w:t>but, if applicable, excluding the Additional Purchase Price Deposit)</w:t>
      </w:r>
      <w:r>
        <w:rPr/>
        <w:t xml:space="preserve">, if any, on deposit in the Escrow Account and ENA shall be entitled to retain </w:t>
      </w:r>
      <w:r>
        <w:rPr>
          <w:strike/>
        </w:rPr>
        <w:t>(</w:t>
      </w:r>
      <w:r>
        <w:rPr>
          <w:b/>
          <w:u w:val="double"/>
        </w:rPr>
        <w:t>(if paid directly to ENA) and to receive (if deposited in the Escrow Account),</w:t>
      </w:r>
      <w:r>
        <w:rPr/>
        <w:t xml:space="preserve"> and shall have no obligation to refund</w:t>
      </w:r>
      <w:r>
        <w:rPr>
          <w:strike/>
        </w:rPr>
        <w:t>)</w:t>
      </w:r>
      <w:r>
        <w:rPr>
          <w:b/>
          <w:u w:val="double"/>
        </w:rPr>
        <w:t>,</w:t>
      </w:r>
      <w:r>
        <w:rPr/>
        <w:t xml:space="preserve"> the Purchase Price Deposits made by NorSub </w:t>
      </w:r>
      <w:r>
        <w:rPr>
          <w:b/>
          <w:u w:val="double"/>
        </w:rPr>
        <w:t>(whether paid directly to ENA or deposited in the Escrow Account and paid therefrom to ENA)</w:t>
      </w:r>
      <w:r>
        <w:rPr/>
        <w:t xml:space="preserve">.    In addition, if such termination occurs on or prior to July </w:t>
      </w:r>
      <w:r>
        <w:rPr>
          <w:strike/>
        </w:rPr>
        <w:t>15</w:t>
      </w:r>
      <w:r>
        <w:rPr/>
        <w:t xml:space="preserve"> </w:t>
      </w:r>
      <w:r>
        <w:rPr>
          <w:b/>
          <w:u w:val="double"/>
        </w:rPr>
        <w:t>13</w:t>
      </w:r>
      <w:r>
        <w:rPr/>
        <w:t xml:space="preserve">, 2001, NorSub shall pay to ENA, within three (3) </w:t>
      </w:r>
      <w:r>
        <w:rPr>
          <w:strike/>
        </w:rPr>
        <w:t>days</w:t>
      </w:r>
      <w:r>
        <w:rPr/>
        <w:t xml:space="preserve"> </w:t>
      </w:r>
      <w:r>
        <w:rPr>
          <w:b/>
          <w:u w:val="double"/>
        </w:rPr>
        <w:t>Business Days</w:t>
      </w:r>
      <w:r>
        <w:rPr/>
        <w:t xml:space="preserve">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r>
        <w:rPr>
          <w:b/>
          <w:u w:val="double"/>
        </w:rPr>
        <w:t>; provided, however,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r>
        <w:rPr/>
        <w:t>.</w:t>
      </w:r>
    </w:p>
    <w:p>
      <w:pPr>
        <w:pStyle w:val="StandardL2"/>
        <w:bidi w:val="0"/>
        <w:jc w:val="both"/>
        <w:rPr>
          <w:rFonts w:ascii="Times New Roman" w:hAnsi="Times New Roman"/>
        </w:rPr>
      </w:pPr>
      <w:r>
        <w:rPr/>
        <w:t>(c)</w:t>
        <w:tab/>
        <w:t xml:space="preserve">NorSub shall have the right to terminate this Agreement, at any time prior to the </w:t>
      </w:r>
      <w:r>
        <w:rPr>
          <w:strike/>
        </w:rPr>
        <w:t>Closing</w:t>
      </w:r>
      <w:r>
        <w:rPr/>
        <w:t xml:space="preserve"> </w:t>
      </w:r>
      <w:r>
        <w:rPr>
          <w:b/>
          <w:u w:val="double"/>
        </w:rPr>
        <w:t>funding of the Escrow Account on the Escrow Funding Date</w:t>
      </w:r>
      <w:r>
        <w:rPr/>
        <w:t xml:space="preserve">, by written notice to ENA, if ENA fails to satisfy, perform or comply in any material respect with any of the material covenants or obligations that ENA is required to satisfy, perform or to comply with pursuant to this Agreement prior to the </w:t>
      </w:r>
      <w:r>
        <w:rPr>
          <w:strike/>
        </w:rPr>
        <w:t>Closing</w:t>
      </w:r>
      <w:r>
        <w:rPr/>
        <w:t xml:space="preserve"> </w:t>
      </w:r>
      <w:r>
        <w:rPr>
          <w:b/>
          <w:u w:val="double"/>
        </w:rPr>
        <w:t>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w:t>
      </w:r>
      <w:r>
        <w:rPr/>
        <w:t xml:space="preserve">.    In the event this Agreement is terminated by NorSub pursuant to this Section 10(c), </w:t>
      </w:r>
      <w:r>
        <w:rPr>
          <w:b/>
          <w:u w:val="double"/>
        </w:rPr>
        <w:t>as its sole and exclusive remedy,</w:t>
      </w:r>
      <w:r>
        <w:rPr/>
        <w:t xml:space="preserve"> NorSub shall be entitled to the immediate refund of all Purchase Price Deposits made by NorSub </w:t>
      </w:r>
      <w:r>
        <w:rPr>
          <w:b/>
          <w:u w:val="double"/>
        </w:rPr>
        <w:t>(whether paid directly to ENA or deposited in the Escrow Account and paid therefrom to ENA)</w:t>
      </w:r>
      <w:r>
        <w:rPr/>
        <w:t xml:space="preserve"> and to the immediate return of all moneys (including interest earnings </w:t>
      </w:r>
      <w:r>
        <w:rPr>
          <w:strike/>
        </w:rPr>
        <w:t>)</w:t>
      </w:r>
      <w:r>
        <w:rPr/>
        <w:t xml:space="preserve"> </w:t>
      </w:r>
      <w:r>
        <w:rPr>
          <w:b/>
          <w:u w:val="double"/>
        </w:rPr>
        <w:t>and, if applicable, the Additional Purchase Price Deposit)</w:t>
      </w:r>
      <w:r>
        <w:rPr/>
        <w:t>, if any, on deposit in the Escrow Account.</w:t>
      </w:r>
    </w:p>
    <w:p>
      <w:pPr>
        <w:pStyle w:val="StandardL2"/>
        <w:bidi w:val="0"/>
        <w:jc w:val="both"/>
        <w:rPr>
          <w:rFonts w:ascii="Times New Roman" w:hAnsi="Times New Roman"/>
        </w:rPr>
      </w:pPr>
      <w:r>
        <w:rPr/>
        <w:t>(d)</w:t>
        <w:tab/>
        <w:t xml:space="preserve">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w:t>
      </w:r>
      <w:r>
        <w:rPr>
          <w:strike/>
        </w:rPr>
        <w:t>)</w:t>
      </w:r>
      <w:r>
        <w:rPr/>
        <w:t xml:space="preserve"> </w:t>
      </w:r>
      <w:r>
        <w:rPr>
          <w:b/>
          <w:u w:val="double"/>
        </w:rPr>
        <w:t>but, if applicable, excluding the Additional Purchase Price Deposit)</w:t>
      </w:r>
      <w:r>
        <w:rPr/>
        <w:t xml:space="preserve">, if any, on deposit in the Escrow Account and ENA shall be entitled to retain </w:t>
      </w:r>
      <w:r>
        <w:rPr>
          <w:strike/>
        </w:rPr>
        <w:t>(</w:t>
      </w:r>
      <w:r>
        <w:rPr>
          <w:b/>
          <w:u w:val="double"/>
        </w:rPr>
        <w:t>(if paid directly to ENA) and to receive (if deposited in the Escrow Account),</w:t>
      </w:r>
      <w:r>
        <w:rPr/>
        <w:t xml:space="preserve"> and shall have no obligation to refund</w:t>
      </w:r>
      <w:r>
        <w:rPr>
          <w:strike/>
        </w:rPr>
        <w:t>)</w:t>
      </w:r>
      <w:r>
        <w:rPr>
          <w:b/>
          <w:u w:val="double"/>
        </w:rPr>
        <w:t>,</w:t>
      </w:r>
      <w:r>
        <w:rPr/>
        <w:t xml:space="preserve"> the Purchase Price Deposits made by NorSub.</w:t>
      </w:r>
    </w:p>
    <w:p>
      <w:pPr>
        <w:pStyle w:val="StandardL2"/>
        <w:bidi w:val="0"/>
        <w:jc w:val="both"/>
        <w:rPr>
          <w:rFonts w:ascii="Times New Roman" w:hAnsi="Times New Roman"/>
        </w:rPr>
      </w:pPr>
      <w:r>
        <w:rPr/>
        <w:t>(e)</w:t>
        <w:tab/>
      </w:r>
      <w:r>
        <w:rPr>
          <w:strike/>
        </w:rPr>
        <w:t>Each Party’s</w:t>
      </w:r>
      <w:r>
        <w:rPr/>
        <w:t xml:space="preserve"> </w:t>
      </w:r>
      <w:r>
        <w:rPr>
          <w:b/>
          <w:u w:val="double"/>
        </w:rPr>
        <w:t>Exercise by either Party of its</w:t>
      </w:r>
      <w:r>
        <w:rPr/>
        <w:t xml:space="preserve">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w:t>
      </w:r>
      <w:r>
        <w:rPr>
          <w:strike/>
        </w:rPr>
        <w:t>and</w:t>
      </w:r>
      <w:r>
        <w:rPr>
          <w:b/>
          <w:u w:val="double"/>
        </w:rPr>
        <w:t>,</w:t>
      </w:r>
      <w:r>
        <w:rPr/>
        <w:t xml:space="preserve"> 10(b) </w:t>
      </w:r>
      <w:r>
        <w:rPr>
          <w:b/>
          <w:u w:val="double"/>
        </w:rPr>
        <w:t>and 10(c)</w:t>
      </w:r>
      <w:r>
        <w:rPr/>
        <w:t xml:space="preserve">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bidi w:val="0"/>
        <w:jc w:val="both"/>
        <w:rPr>
          <w:rFonts w:ascii="Times New Roman" w:hAnsi="Times New Roman"/>
        </w:rPr>
      </w:pPr>
      <w:r>
        <w:rPr/>
        <w:t>11.</w:t>
        <w:tab/>
      </w:r>
      <w:r>
        <w:rPr>
          <w:b/>
        </w:rPr>
        <w:t>Confidentiality</w:t>
      </w:r>
      <w:r>
        <w:rPr/>
        <w:t xml:space="preserve">. </w:t>
      </w:r>
    </w:p>
    <w:p>
      <w:pPr>
        <w:pStyle w:val="StandardL2"/>
        <w:bidi w:val="0"/>
        <w:jc w:val="both"/>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bidi w:val="0"/>
        <w:jc w:val="both"/>
        <w:rPr>
          <w:rFonts w:ascii="Times New Roman" w:hAnsi="Times New Roman"/>
        </w:rPr>
      </w:pPr>
      <w:r>
        <w:rPr/>
        <w:t>(i)</w:t>
        <w:tab/>
        <w:t>Confidential Information that a Party can demonstrate was rightfully in such Party’s possession prior to the date of disclosure to such Party;</w:t>
      </w:r>
    </w:p>
    <w:p>
      <w:pPr>
        <w:pStyle w:val="StandardL3"/>
        <w:bidi w:val="0"/>
        <w:jc w:val="both"/>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bidi w:val="0"/>
        <w:jc w:val="both"/>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bidi w:val="0"/>
        <w:jc w:val="both"/>
        <w:rPr>
          <w:rFonts w:ascii="Times New Roman" w:hAnsi="Times New Roman"/>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bidi w:val="0"/>
        <w:jc w:val="both"/>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bidi w:val="0"/>
        <w:jc w:val="both"/>
        <w:rPr>
          <w:rFonts w:ascii="Times New Roman" w:hAnsi="Times New Roman"/>
        </w:rPr>
      </w:pPr>
      <w:r>
        <w:rPr/>
        <w:t>(vi)</w:t>
        <w:tab/>
        <w:t>Disclosures of Confidential Information for financial reporting purposes; and</w:t>
      </w:r>
    </w:p>
    <w:p>
      <w:pPr>
        <w:pStyle w:val="StandardL3"/>
        <w:bidi w:val="0"/>
        <w:jc w:val="both"/>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xml:space="preserve">” means a purpose related solely to (i) this Agreement or the LLC Agreement or the transactions contemplated hereby or thereby (other than the unrelated and/or competing transactions referred to in </w:t>
      </w:r>
      <w:r>
        <w:rPr>
          <w:strike/>
        </w:rPr>
        <w:t>Section 4.3</w:t>
      </w:r>
      <w:r>
        <w:rPr/>
        <w:t xml:space="preserve"> </w:t>
      </w:r>
      <w:r>
        <w:rPr>
          <w:b/>
          <w:u w:val="double"/>
        </w:rPr>
        <w:t>Section 4.3</w:t>
      </w:r>
      <w:r>
        <w:rPr/>
        <w:t xml:space="preserve">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bidi w:val="0"/>
        <w:jc w:val="both"/>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bidi w:val="0"/>
        <w:jc w:val="both"/>
        <w:rPr>
          <w:rFonts w:ascii="Times New Roman" w:hAnsi="Times New Roman"/>
        </w:rPr>
      </w:pPr>
      <w:r>
        <w:rPr/>
        <w:t>(c)</w:t>
        <w:tab/>
        <w:t xml:space="preserve">Upon request by a Party, the other Party shall promptly </w:t>
      </w:r>
      <w:r>
        <w:rPr>
          <w:strike/>
        </w:rPr>
        <w:t>(i) return</w:t>
      </w:r>
      <w:r>
        <w:rPr>
          <w:b/>
          <w:u w:val="double"/>
        </w:rPr>
        <w:t>(i) return</w:t>
      </w:r>
      <w:r>
        <w:rPr/>
        <w:t xml:space="preserve"> to the requesting Party the originals and any copies of Confidential Information that was provided to such Party by the requesting Party, and </w:t>
      </w:r>
      <w:r>
        <w:rPr>
          <w:strike/>
        </w:rPr>
        <w:t>(ii) certify</w:t>
      </w:r>
      <w:r>
        <w:rPr>
          <w:b/>
          <w:u w:val="double"/>
        </w:rPr>
        <w:t>(ii) certify</w:t>
      </w:r>
      <w:r>
        <w:rPr/>
        <w:t xml:space="preserve"> in writing to the requesting Party that such Party has complied fully with the provisions of this </w:t>
      </w:r>
      <w:r>
        <w:rPr>
          <w:strike/>
        </w:rPr>
        <w:t>Section 11</w:t>
      </w:r>
      <w:r>
        <w:rPr/>
        <w:t xml:space="preserve"> </w:t>
      </w:r>
      <w:r>
        <w:rPr>
          <w:b/>
          <w:u w:val="double"/>
        </w:rPr>
        <w:t>Section 11</w:t>
      </w:r>
      <w:r>
        <w:rPr/>
        <w:t>.</w:t>
      </w:r>
    </w:p>
    <w:p>
      <w:pPr>
        <w:pStyle w:val="StandardL2"/>
        <w:bidi w:val="0"/>
        <w:jc w:val="both"/>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bidi w:val="0"/>
        <w:jc w:val="both"/>
        <w:rPr>
          <w:rFonts w:ascii="Times New Roman" w:hAnsi="Times New Roman"/>
        </w:rPr>
      </w:pPr>
      <w:r>
        <w:rPr/>
        <w:t>(e)</w:t>
        <w:tab/>
        <w:t xml:space="preserve">The provisions of this Section 11 shall survive until two (2) years from the earlier of </w:t>
      </w:r>
      <w:r>
        <w:rPr>
          <w:strike/>
        </w:rPr>
        <w:t>(i) the</w:t>
      </w:r>
      <w:r>
        <w:rPr>
          <w:b/>
          <w:u w:val="double"/>
        </w:rPr>
        <w:t>(i) the</w:t>
      </w:r>
      <w:r>
        <w:rPr/>
        <w:t xml:space="preserve"> date of the exercise of the Call Right </w:t>
      </w:r>
      <w:r>
        <w:rPr>
          <w:strike/>
        </w:rPr>
        <w:t>(as defined in the LLC Agreement) or the Put Right (as defined in the LLC Agreement), or (ii) the</w:t>
      </w:r>
      <w:r>
        <w:rPr/>
        <w:t xml:space="preserve"> </w:t>
      </w:r>
      <w:r>
        <w:rPr>
          <w:b/>
          <w:u w:val="double"/>
        </w:rPr>
        <w:t>or the Put Right, or (ii) the</w:t>
      </w:r>
      <w:r>
        <w:rPr/>
        <w:t xml:space="preserve"> date of termination of this Agreement pursuant to </w:t>
      </w:r>
      <w:r>
        <w:rPr>
          <w:strike/>
        </w:rPr>
        <w:t>Section 10</w:t>
      </w:r>
      <w:r>
        <w:rPr/>
        <w:t xml:space="preserve"> </w:t>
      </w:r>
      <w:r>
        <w:rPr>
          <w:b/>
          <w:u w:val="double"/>
        </w:rPr>
        <w:t>Section 10</w:t>
      </w:r>
      <w:r>
        <w:rPr/>
        <w:t xml:space="preserve"> hereof.</w:t>
      </w:r>
    </w:p>
    <w:p>
      <w:pPr>
        <w:pStyle w:val="StandardL1"/>
        <w:bidi w:val="0"/>
        <w:jc w:val="both"/>
        <w:rPr>
          <w:rFonts w:ascii="Times New Roman" w:hAnsi="Times New Roman"/>
        </w:rPr>
      </w:pPr>
      <w:r>
        <w:rPr/>
        <w:t>12.</w:t>
        <w:tab/>
      </w:r>
      <w:r>
        <w:rPr>
          <w:b/>
        </w:rPr>
        <w:t>Representations and Warranties</w:t>
      </w:r>
      <w:r>
        <w:rPr/>
        <w:t>.</w:t>
      </w:r>
    </w:p>
    <w:p>
      <w:pPr>
        <w:pStyle w:val="StandardL2"/>
        <w:bidi w:val="0"/>
        <w:jc w:val="both"/>
        <w:rPr>
          <w:rFonts w:ascii="Times New Roman" w:hAnsi="Times New Roman"/>
        </w:rPr>
      </w:pPr>
      <w:r>
        <w:rPr/>
        <w:t>(a)</w:t>
        <w:tab/>
        <w:t>ENA represents and warrants as follows:</w:t>
      </w:r>
    </w:p>
    <w:p>
      <w:pPr>
        <w:pStyle w:val="StandardL3"/>
        <w:bidi w:val="0"/>
        <w:jc w:val="both"/>
        <w:rPr>
          <w:rFonts w:ascii="Times New Roman" w:hAnsi="Times New Roman"/>
        </w:rPr>
      </w:pPr>
      <w:r>
        <w:rPr/>
        <w:t>(i)</w:t>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w:t>
      </w:r>
      <w:r>
        <w:rPr>
          <w:strike/>
        </w:rPr>
        <w:t>(1) such</w:t>
      </w:r>
      <w:r>
        <w:rPr>
          <w:b/>
          <w:u w:val="double"/>
        </w:rPr>
        <w:t>(1) such</w:t>
      </w:r>
      <w:r>
        <w:rPr/>
        <w:t xml:space="preserve"> enforceability may be subject to bankruptcy, insolvency, reorganization, moratorium or other similar laws now or hereafter in effect relating to creditors’ rights, and </w:t>
      </w:r>
      <w:r>
        <w:rPr>
          <w:strike/>
        </w:rPr>
        <w:t>(2) the</w:t>
      </w:r>
      <w:r>
        <w:rPr>
          <w:b/>
          <w:u w:val="double"/>
        </w:rPr>
        <w:t>(2)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bidi w:val="0"/>
        <w:jc w:val="both"/>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bidi w:val="0"/>
        <w:jc w:val="both"/>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bidi w:val="0"/>
        <w:jc w:val="both"/>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bidi w:val="0"/>
        <w:jc w:val="both"/>
        <w:rPr>
          <w:rFonts w:ascii="Times New Roman" w:hAnsi="Times New Roman"/>
        </w:rPr>
      </w:pPr>
      <w:r>
        <w:rPr/>
        <w:t>(vi)</w:t>
        <w:tab/>
        <w:t>The LLC is a limited liability company duly organized, validly existing and in good standing under the laws of the State of Delaware.</w:t>
      </w:r>
    </w:p>
    <w:p>
      <w:pPr>
        <w:pStyle w:val="StandardL3"/>
        <w:bidi w:val="0"/>
        <w:jc w:val="both"/>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bidi w:val="0"/>
        <w:jc w:val="both"/>
        <w:rPr>
          <w:rFonts w:ascii="Times New Roman" w:hAnsi="Times New Roman"/>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bidi w:val="0"/>
        <w:jc w:val="both"/>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bidi w:val="0"/>
        <w:jc w:val="both"/>
        <w:rPr>
          <w:rFonts w:ascii="Times New Roman" w:hAnsi="Times New Roman"/>
        </w:rPr>
      </w:pPr>
      <w:r>
        <w:rPr/>
        <w:t>(x)</w:t>
        <w:tab/>
        <w:t>The LLC has no employees and has never had any employees.</w:t>
      </w:r>
    </w:p>
    <w:p>
      <w:pPr>
        <w:pStyle w:val="StandardL3"/>
        <w:bidi w:val="0"/>
        <w:jc w:val="both"/>
        <w:rPr>
          <w:rFonts w:ascii="Times New Roman" w:hAnsi="Times New Roman"/>
        </w:rPr>
      </w:pPr>
      <w:r>
        <w:rPr/>
        <w:t>(xi)</w:t>
        <w:tab/>
        <w:t>Since its formation, the LLC has not made any tax elections.</w:t>
      </w:r>
    </w:p>
    <w:p>
      <w:pPr>
        <w:pStyle w:val="StandardL3"/>
        <w:bidi w:val="0"/>
        <w:jc w:val="both"/>
        <w:rPr>
          <w:rFonts w:ascii="Times New Roman" w:hAnsi="Times New Roman"/>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bidi w:val="0"/>
        <w:jc w:val="both"/>
        <w:rPr>
          <w:rFonts w:ascii="Times New Roman" w:hAnsi="Times New Roman"/>
        </w:rPr>
      </w:pPr>
      <w:r>
        <w:rPr/>
        <w:t>(xiii)</w:t>
        <w:tab/>
        <w:t xml:space="preserve">The Turbine Contract Assignment and Assumption Agreement, when delivered by the parties thereto and at the Closing of the Transaction, will constitute the legal, valid and binding obligation of the Original Purchaser, the Agent and the LLC, except that </w:t>
      </w:r>
      <w:r>
        <w:rPr>
          <w:strike/>
        </w:rPr>
        <w:t>(A) such</w:t>
      </w:r>
      <w:r>
        <w:rPr>
          <w:b/>
          <w:u w:val="double"/>
        </w:rPr>
        <w:t>(A) such</w:t>
      </w:r>
      <w:r>
        <w:rPr/>
        <w:t xml:space="preserve"> enforceability may be subject to bankruptcy, insolvency, reorganization, moratorium or other similar laws now or hereafter in effect relating to creditors’ rights generally, and </w:t>
      </w:r>
      <w:r>
        <w:rPr>
          <w:strike/>
        </w:rPr>
        <w:t>(B) the</w:t>
      </w:r>
      <w:r>
        <w:rPr>
          <w:b/>
          <w:u w:val="double"/>
        </w:rPr>
        <w:t>(B)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bidi w:val="0"/>
        <w:jc w:val="both"/>
        <w:rPr>
          <w:rFonts w:ascii="Times New Roman" w:hAnsi="Times New Roman"/>
        </w:rPr>
      </w:pPr>
      <w:r>
        <w:rPr/>
        <w:t>(xiv)</w:t>
        <w:tab/>
      </w:r>
      <w:r>
        <w:rPr>
          <w:b/>
          <w:u w:val="double"/>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w:t>
      </w:r>
      <w:r>
        <w:rPr/>
        <w:t>    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bidi w:val="0"/>
        <w:jc w:val="both"/>
        <w:rPr>
          <w:rFonts w:ascii="Times New Roman" w:hAnsi="Times New Roman"/>
        </w:rPr>
      </w:pPr>
      <w:r>
        <w:rPr/>
        <w:t>(xv)</w:t>
        <w:tab/>
        <w:t xml:space="preserve">No act or omission on the part of ENA, the Original Purchaser </w:t>
      </w:r>
      <w:r>
        <w:rPr>
          <w:b/>
          <w:u w:val="double"/>
        </w:rPr>
        <w:t>(or any of its predecessors as “Purchaser” under the Original Turbine Contract as in effect prior to the Original Purchaser becoming a party thereto)</w:t>
      </w:r>
      <w:r>
        <w:rPr/>
        <w:t xml:space="preserve">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bidi w:val="0"/>
        <w:jc w:val="both"/>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bidi w:val="0"/>
        <w:jc w:val="both"/>
        <w:rPr>
          <w:rFonts w:ascii="Times New Roman" w:hAnsi="Times New Roman"/>
        </w:rPr>
      </w:pPr>
      <w:r>
        <w:rPr/>
        <w:t>(xvii)</w:t>
        <w:tab/>
        <w:t>ENA has furnished to NorSub a true, correct and complete (</w:t>
      </w:r>
      <w:r>
        <w:rPr>
          <w:u w:val="single"/>
        </w:rPr>
        <w:t>e.g.</w:t>
      </w:r>
      <w:r>
        <w:rPr/>
        <w:t xml:space="preserve">, not redacted) copy of the Original Turbine Contract </w:t>
      </w:r>
      <w:r>
        <w:rPr>
          <w:b/>
          <w:u w:val="double"/>
        </w:rPr>
        <w:t>(including any written amendments, modifications and supplements thereto)</w:t>
      </w:r>
      <w:r>
        <w:rPr/>
        <w:t xml:space="preserve"> and all Change Orders thereunder.</w:t>
      </w:r>
    </w:p>
    <w:p>
      <w:pPr>
        <w:pStyle w:val="StandardL3"/>
        <w:bidi w:val="0"/>
        <w:jc w:val="both"/>
        <w:rPr>
          <w:rFonts w:ascii="Times New Roman" w:hAnsi="Times New Roman"/>
        </w:rPr>
      </w:pPr>
      <w:r>
        <w:rPr/>
        <w:t>(xviii)</w:t>
        <w:tab/>
        <w:t xml:space="preserve">The Original Turbine Contract is in full force and effect without any termination thereof by any party thereto; and as of the Closing, the Turbine Contract will be in full force and effect without any termination thereof </w:t>
      </w:r>
      <w:r>
        <w:rPr>
          <w:b/>
          <w:u w:val="double"/>
        </w:rPr>
        <w:t>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r>
        <w:rPr/>
        <w:t>.</w:t>
      </w:r>
    </w:p>
    <w:p>
      <w:pPr>
        <w:pStyle w:val="StandardL3"/>
        <w:bidi w:val="0"/>
        <w:jc w:val="both"/>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bidi w:val="0"/>
        <w:jc w:val="both"/>
        <w:rPr>
          <w:rFonts w:ascii="Times New Roman" w:hAnsi="Times New Roman"/>
        </w:rPr>
      </w:pPr>
      <w:r>
        <w:rPr/>
        <w:t>(b)</w:t>
        <w:tab/>
        <w:t>NorSub represents and warrants as follows:</w:t>
      </w:r>
    </w:p>
    <w:p>
      <w:pPr>
        <w:pStyle w:val="StandardL3"/>
        <w:bidi w:val="0"/>
        <w:jc w:val="both"/>
        <w:rPr>
          <w:rFonts w:ascii="Times New Roman" w:hAnsi="Times New Roman"/>
        </w:rPr>
      </w:pPr>
      <w:r>
        <w:rPr/>
        <w:t>(i)</w:t>
        <w:tab/>
        <w:t xml:space="preserve">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w:t>
      </w:r>
      <w:r>
        <w:rPr>
          <w:strike/>
        </w:rPr>
        <w:t>(1) such</w:t>
      </w:r>
      <w:r>
        <w:rPr>
          <w:b/>
          <w:u w:val="double"/>
        </w:rPr>
        <w:t>(1) such</w:t>
      </w:r>
      <w:r>
        <w:rPr/>
        <w:t xml:space="preserve"> enforceability may be subject to bankruptcy, insolvency, reorganization, moratorium or other similar laws now or hereafter in effect relating to creditors’ rights, and </w:t>
      </w:r>
      <w:r>
        <w:rPr>
          <w:strike/>
        </w:rPr>
        <w:t>(2) the</w:t>
      </w:r>
      <w:r>
        <w:rPr>
          <w:b/>
          <w:u w:val="double"/>
        </w:rPr>
        <w:t>(2)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bidi w:val="0"/>
        <w:jc w:val="both"/>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bidi w:val="0"/>
        <w:jc w:val="both"/>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bidi w:val="0"/>
        <w:jc w:val="both"/>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bidi w:val="0"/>
        <w:jc w:val="both"/>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bidi w:val="0"/>
        <w:jc w:val="both"/>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bidi w:val="0"/>
        <w:jc w:val="both"/>
        <w:rPr>
          <w:rFonts w:ascii="Times New Roman" w:hAnsi="Times New Roman"/>
        </w:rPr>
      </w:pPr>
      <w:r>
        <w:rPr/>
        <w:t>14.</w:t>
        <w:tab/>
      </w:r>
      <w:r>
        <w:rPr>
          <w:b/>
        </w:rPr>
        <w:t>Entire Agreement</w:t>
      </w:r>
      <w:r>
        <w:rPr/>
        <w:t xml:space="preserve">.    This Agreement and the documents delivered hereunder to which </w:t>
      </w:r>
      <w:r>
        <w:rPr>
          <w:strike/>
        </w:rPr>
        <w:t>any</w:t>
      </w:r>
      <w:r>
        <w:rPr/>
        <w:t xml:space="preserve"> </w:t>
      </w:r>
      <w:r>
        <w:rPr>
          <w:b/>
          <w:u w:val="double"/>
        </w:rPr>
        <w:t>either</w:t>
      </w:r>
      <w:r>
        <w:rPr/>
        <w:t xml:space="preserve"> Party or NorthWestern is a party constitute the entire agreement of the Parties and NorthWestern relating to the subject matter hereof and supersede all prior discussions, agreements or understandings, whether oral or written, relating to such subject matter, including </w:t>
      </w:r>
      <w:r>
        <w:rPr>
          <w:strike/>
        </w:rPr>
        <w:t>that certain letter of intent dated March 26, 2001, between ENA and NorthWestern</w:t>
      </w:r>
      <w:r>
        <w:rPr/>
        <w:t xml:space="preserve"> </w:t>
      </w:r>
      <w:r>
        <w:rPr>
          <w:b/>
          <w:u w:val="double"/>
        </w:rPr>
        <w:t>the Initial Letter Agreement</w:t>
      </w:r>
      <w:r>
        <w:rPr/>
        <w:t xml:space="preserve"> and that certain confidentiality agreement, dated </w:t>
      </w:r>
      <w:r>
        <w:rPr>
          <w:strike/>
        </w:rPr>
        <w:t>February 23</w:t>
      </w:r>
      <w:r>
        <w:rPr/>
        <w:t xml:space="preserve"> </w:t>
      </w:r>
      <w:r>
        <w:rPr>
          <w:b/>
          <w:u w:val="double"/>
        </w:rPr>
        <w:t>February 23</w:t>
      </w:r>
      <w:r>
        <w:rPr/>
        <w:t>,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bidi w:val="0"/>
        <w:jc w:val="both"/>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bidi w:val="0"/>
        <w:jc w:val="both"/>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bidi w:val="0"/>
        <w:jc w:val="both"/>
        <w:rPr>
          <w:rFonts w:ascii="Times New Roman" w:hAnsi="Times New Roman"/>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bidi w:val="0"/>
        <w:jc w:val="both"/>
        <w:rPr>
          <w:rFonts w:ascii="Times New Roman" w:hAnsi="Times New Roman"/>
        </w:rPr>
      </w:pPr>
      <w:r>
        <w:rPr/>
        <w:t>18.</w:t>
        <w:tab/>
      </w:r>
      <w:r>
        <w:rPr>
          <w:b/>
        </w:rPr>
        <w:t>Limitation of Liability</w:t>
      </w:r>
      <w:r>
        <w:rPr/>
        <w:t>.</w:t>
      </w:r>
    </w:p>
    <w:p>
      <w:pPr>
        <w:pStyle w:val="StandardL2"/>
        <w:bidi w:val="0"/>
        <w:jc w:val="both"/>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bidi w:val="0"/>
        <w:jc w:val="both"/>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bidi w:val="0"/>
        <w:jc w:val="both"/>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bidi w:val="0"/>
        <w:jc w:val="both"/>
        <w:rPr>
          <w:rFonts w:ascii="Times New Roman" w:hAnsi="Times New Roman"/>
        </w:rPr>
      </w:pPr>
      <w:r>
        <w:rPr/>
        <w:t>20.</w:t>
        <w:tab/>
      </w:r>
      <w:r>
        <w:rPr>
          <w:b/>
        </w:rPr>
        <w:t>Indemnity</w:t>
      </w:r>
      <w:r>
        <w:rPr/>
        <w:t>.</w:t>
      </w:r>
    </w:p>
    <w:p>
      <w:pPr>
        <w:pStyle w:val="StandardL2"/>
        <w:bidi w:val="0"/>
        <w:jc w:val="both"/>
        <w:rPr>
          <w:rFonts w:ascii="Times New Roman" w:hAnsi="Times New Roman"/>
        </w:rPr>
      </w:pPr>
      <w:r>
        <w:rPr/>
        <w:t>(a)</w:t>
        <w:tab/>
      </w:r>
      <w:r>
        <w:rPr>
          <w:u w:val="single"/>
        </w:rPr>
        <w:t>Indemnification by NorSub</w:t>
      </w:r>
      <w:r>
        <w:rPr/>
        <w:t>.    FROM AND AFTER THE CLOSING DATE</w:t>
      </w:r>
      <w:r>
        <w:rPr>
          <w:b/>
          <w:u w:val="double"/>
        </w:rPr>
        <w:t>,</w:t>
      </w:r>
      <w:r>
        <w:rPr/>
        <w:t xml:space="preserv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bidi w:val="0"/>
        <w:jc w:val="both"/>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bidi w:val="0"/>
        <w:jc w:val="both"/>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w:t>
      </w:r>
      <w:r>
        <w:rPr>
          <w:strike/>
        </w:rPr>
        <w:t>(i) has</w:t>
      </w:r>
      <w:r>
        <w:rPr>
          <w:b/>
          <w:u w:val="double"/>
        </w:rPr>
        <w:t>(i) has</w:t>
      </w:r>
      <w:r>
        <w:rPr/>
        <w:t xml:space="preserve"> undertaken the defense of, and assumed full responsibility for all Covered Liabilities with respect to, such Claim, </w:t>
      </w:r>
      <w:r>
        <w:rPr>
          <w:strike/>
        </w:rPr>
        <w:t>(ii) is</w:t>
      </w:r>
      <w:r>
        <w:rPr>
          <w:b/>
          <w:u w:val="double"/>
        </w:rPr>
        <w:t>(ii) is</w:t>
      </w:r>
      <w:r>
        <w:rPr/>
        <w:t xml:space="preserve"> reasonably contesting such Claim in good faith by appropriate proceedings, and </w:t>
      </w:r>
      <w:r>
        <w:rPr>
          <w:strike/>
        </w:rPr>
        <w:t>(iii) has</w:t>
      </w:r>
      <w:r>
        <w:rPr>
          <w:b/>
          <w:u w:val="double"/>
        </w:rPr>
        <w:t>(iii) has</w:t>
      </w:r>
      <w:r>
        <w:rPr/>
        <w:t xml:space="preserve">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xml:space="preserve">, that the Indemnified Party may pay or settle such Claim, if the Indemnified Party waives any and all rights to indemnification by the Indemnitor for such Claim.    If, within thirty </w:t>
      </w:r>
      <w:r>
        <w:rPr>
          <w:strike/>
        </w:rPr>
        <w:t>(30) days</w:t>
      </w:r>
      <w:r>
        <w:rPr>
          <w:b/>
          <w:u w:val="double"/>
        </w:rPr>
        <w:t>(30) days</w:t>
      </w:r>
      <w:r>
        <w:rPr/>
        <w:t xml:space="preserve">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bidi w:val="0"/>
        <w:jc w:val="both"/>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bidi w:val="0"/>
        <w:jc w:val="both"/>
        <w:rPr>
          <w:rFonts w:ascii="Times New Roman" w:hAnsi="Times New Roman"/>
        </w:rPr>
      </w:pPr>
      <w:r>
        <w:rPr/>
        <w:t>(e)</w:t>
        <w:tab/>
      </w:r>
      <w:r>
        <w:rPr>
          <w:u w:val="single"/>
        </w:rPr>
        <w:t>Survival</w:t>
      </w:r>
      <w:r>
        <w:rPr/>
        <w:t xml:space="preserve">.    The obligations of the Parties under this Section 20 shall survive the Closing until expiration of such obligations </w:t>
      </w:r>
      <w:r>
        <w:rPr>
          <w:strike/>
        </w:rPr>
        <w:t>as set forth</w:t>
      </w:r>
      <w:r>
        <w:rPr/>
        <w:t xml:space="preserve"> in accordance with Section 9 hereof.</w:t>
      </w:r>
    </w:p>
    <w:p>
      <w:pPr>
        <w:pStyle w:val="StandardL1"/>
        <w:bidi w:val="0"/>
        <w:jc w:val="both"/>
        <w:rPr>
          <w:rFonts w:ascii="Times New Roman" w:hAnsi="Times New Roman"/>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w:t>
      </w:r>
      <w:r>
        <w:rPr>
          <w:strike/>
        </w:rPr>
        <w:t>,</w:t>
      </w:r>
      <w:r>
        <w:rPr/>
        <w:t xml:space="preserve"> notice received by telex, telecopy, telefax or other facsimile or electronic transmission after 5:00 p.m. at the location of the addressee of such notice shall be deemed received on the first </w:t>
      </w:r>
      <w:r>
        <w:rPr>
          <w:strike/>
        </w:rPr>
        <w:t>business day</w:t>
      </w:r>
      <w:r>
        <w:rPr/>
        <w:t xml:space="preserve"> </w:t>
      </w:r>
      <w:r>
        <w:rPr>
          <w:b/>
          <w:u w:val="double"/>
        </w:rPr>
        <w:t>Business Day</w:t>
      </w:r>
      <w:r>
        <w:rPr/>
        <w:t xml:space="preserve"> following the date of such electronic receipt.    Until changed pursuant to the foregoing, notices to the Parties shall be addressed as follows:</w:t>
      </w:r>
    </w:p>
    <w:p>
      <w:pPr>
        <w:pStyle w:val="AddressedTo"/>
        <w:bidi w:val="0"/>
        <w:jc w:val="both"/>
        <w:rPr>
          <w:rFonts w:ascii="Times New Roman" w:hAnsi="Times New Roman"/>
        </w:rPr>
      </w:pPr>
      <w:r>
        <w:rPr/>
        <w:t>NorthWestern Generation I, LLC</w:t>
      </w:r>
    </w:p>
    <w:p>
      <w:pPr>
        <w:pStyle w:val="AddressedTo"/>
        <w:bidi w:val="0"/>
        <w:jc w:val="both"/>
        <w:rPr>
          <w:rFonts w:ascii="Times New Roman" w:hAnsi="Times New Roman"/>
        </w:rPr>
      </w:pPr>
      <w:r>
        <w:rPr/>
        <w:t xml:space="preserve">c/o NorthWestern </w:t>
      </w:r>
      <w:r>
        <w:rPr>
          <w:strike/>
        </w:rPr>
        <w:t>Coporation</w:t>
      </w:r>
      <w:r>
        <w:rPr/>
        <w:t xml:space="preserve"> </w:t>
      </w:r>
      <w:r>
        <w:rPr>
          <w:b/>
          <w:u w:val="double"/>
        </w:rPr>
        <w:t>Corporation</w:t>
      </w:r>
    </w:p>
    <w:p>
      <w:pPr>
        <w:pStyle w:val="AddressedTo"/>
        <w:bidi w:val="0"/>
        <w:jc w:val="both"/>
        <w:rPr>
          <w:rFonts w:ascii="Times New Roman" w:hAnsi="Times New Roman"/>
        </w:rPr>
      </w:pPr>
      <w:r>
        <w:rPr/>
        <w:t>125 S. Dakota Avenue</w:t>
      </w:r>
    </w:p>
    <w:p>
      <w:pPr>
        <w:pStyle w:val="AddressedTo"/>
        <w:bidi w:val="0"/>
        <w:jc w:val="both"/>
        <w:rPr>
          <w:rFonts w:ascii="Times New Roman" w:hAnsi="Times New Roman"/>
        </w:rPr>
      </w:pPr>
      <w:r>
        <w:rPr/>
        <w:t>Sioux Falls, South Dakota 57104</w:t>
      </w:r>
    </w:p>
    <w:p>
      <w:pPr>
        <w:pStyle w:val="AddressedTo"/>
        <w:bidi w:val="0"/>
        <w:jc w:val="both"/>
        <w:rPr>
          <w:rFonts w:ascii="Times New Roman" w:hAnsi="Times New Roman"/>
        </w:rPr>
      </w:pPr>
      <w:r>
        <w:rPr/>
        <w:t>Attention:    Vice President and General Counsel</w:t>
      </w:r>
    </w:p>
    <w:p>
      <w:pPr>
        <w:pStyle w:val="AddressedTo"/>
        <w:bidi w:val="0"/>
        <w:spacing w:before="0" w:after="240"/>
        <w:jc w:val="both"/>
        <w:rPr>
          <w:rFonts w:ascii="Times New Roman" w:hAnsi="Times New Roman"/>
        </w:rPr>
      </w:pPr>
      <w:r>
        <w:rPr/>
        <w:t>Facsimile:    (605) 978-2840</w:t>
      </w:r>
    </w:p>
    <w:p>
      <w:pPr>
        <w:pStyle w:val="AddressedTo"/>
        <w:bidi w:val="0"/>
        <w:jc w:val="both"/>
        <w:rPr>
          <w:rFonts w:ascii="Times New Roman" w:hAnsi="Times New Roman"/>
        </w:rPr>
      </w:pPr>
      <w:r>
        <w:rPr/>
        <w:t>Enron North America Corp.</w:t>
      </w:r>
    </w:p>
    <w:p>
      <w:pPr>
        <w:pStyle w:val="AddressedTo"/>
        <w:bidi w:val="0"/>
        <w:jc w:val="both"/>
        <w:rPr>
          <w:rFonts w:ascii="Times New Roman" w:hAnsi="Times New Roman"/>
        </w:rPr>
      </w:pPr>
      <w:r>
        <w:rPr/>
        <w:t>1400 Smith Street</w:t>
      </w:r>
    </w:p>
    <w:p>
      <w:pPr>
        <w:pStyle w:val="AddressedTo"/>
        <w:bidi w:val="0"/>
        <w:jc w:val="both"/>
        <w:rPr>
          <w:rFonts w:ascii="Times New Roman" w:hAnsi="Times New Roman"/>
        </w:rPr>
      </w:pPr>
      <w:r>
        <w:rPr/>
        <w:t>Houston, Texas 77002</w:t>
      </w:r>
    </w:p>
    <w:p>
      <w:pPr>
        <w:pStyle w:val="AddressedTo"/>
        <w:bidi w:val="0"/>
        <w:jc w:val="both"/>
        <w:rPr>
          <w:rFonts w:ascii="Times New Roman" w:hAnsi="Times New Roman"/>
        </w:rPr>
      </w:pPr>
      <w:r>
        <w:rPr/>
        <w:t>Attention:    Mr. Ben F. Jacoby</w:t>
      </w:r>
    </w:p>
    <w:p>
      <w:pPr>
        <w:pStyle w:val="AddressedTo"/>
        <w:bidi w:val="0"/>
        <w:spacing w:before="0" w:after="240"/>
        <w:jc w:val="both"/>
        <w:rPr>
          <w:rFonts w:ascii="Times New Roman" w:hAnsi="Times New Roman"/>
        </w:rPr>
      </w:pPr>
      <w:r>
        <w:rPr/>
        <w:t>Facsimile:    (713) 646-3037</w:t>
      </w:r>
    </w:p>
    <w:p>
      <w:pPr>
        <w:pStyle w:val="StandardL1"/>
        <w:bidi w:val="0"/>
        <w:jc w:val="both"/>
        <w:rPr>
          <w:rFonts w:ascii="Times New Roman" w:hAnsi="Times New Roman"/>
        </w:rPr>
      </w:pPr>
      <w:r>
        <w:rPr/>
        <w:t>22.</w:t>
        <w:tab/>
      </w:r>
      <w:r>
        <w:rPr>
          <w:b/>
        </w:rPr>
        <w:t>Dispute Resolution</w:t>
      </w:r>
      <w:r>
        <w:rPr/>
        <w:t>.</w:t>
      </w:r>
    </w:p>
    <w:p>
      <w:pPr>
        <w:pStyle w:val="StandardL2"/>
        <w:bidi w:val="0"/>
        <w:jc w:val="both"/>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bidi w:val="0"/>
        <w:jc w:val="both"/>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bidi w:val="0"/>
        <w:jc w:val="both"/>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bidi w:val="0"/>
        <w:jc w:val="both"/>
        <w:rPr>
          <w:rFonts w:ascii="Times New Roman" w:hAnsi="Times New Roman"/>
        </w:rPr>
      </w:pPr>
      <w:r>
        <w:rPr/>
        <w:t>(iii)</w:t>
        <w:tab/>
        <w:t>After the arbitration demand and response have been exchanged, a three-member arbitration panel shall be selected as follows:</w:t>
      </w:r>
    </w:p>
    <w:p>
      <w:pPr>
        <w:pStyle w:val="StandardL4"/>
        <w:bidi w:val="0"/>
        <w:rPr>
          <w:rFonts w:ascii="Times New Roman" w:hAnsi="Times New Roman"/>
        </w:rPr>
      </w:pPr>
      <w:r>
        <w:rPr/>
        <w:t>(1)</w:t>
        <w:tab/>
        <w:t>No person may be selected or serve as an arbitrator who is employed by, or under the control or management of, either Party;</w:t>
      </w:r>
    </w:p>
    <w:p>
      <w:pPr>
        <w:pStyle w:val="StandardL4"/>
        <w:bidi w:val="0"/>
        <w:rPr>
          <w:rFonts w:ascii="Times New Roman" w:hAnsi="Times New Roman"/>
        </w:rPr>
      </w:pPr>
      <w:r>
        <w:rPr/>
        <w:t>(2)</w:t>
        <w:tab/>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bidi w:val="0"/>
        <w:rPr>
          <w:rFonts w:ascii="Times New Roman" w:hAnsi="Times New Roman"/>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bidi w:val="0"/>
        <w:jc w:val="both"/>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bidi w:val="0"/>
        <w:jc w:val="both"/>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4"/>
        <w:bidi w:val="0"/>
        <w:rPr>
          <w:rFonts w:ascii="Times New Roman" w:hAnsi="Times New Roman"/>
        </w:rPr>
      </w:pPr>
      <w:r>
        <w:rPr/>
        <w:t>(1)</w:t>
        <w:tab/>
        <w:t>The arbitration hearing shall be held in New York, New York, at a location mutually agreed by the Parties, or failing such agreement, at a location determined by the arbitration panel;</w:t>
      </w:r>
    </w:p>
    <w:p>
      <w:pPr>
        <w:pStyle w:val="StandardL4"/>
        <w:bidi w:val="0"/>
        <w:rPr>
          <w:rFonts w:ascii="Times New Roman" w:hAnsi="Times New Roman"/>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bidi w:val="0"/>
        <w:rPr>
          <w:rFonts w:ascii="Times New Roman" w:hAnsi="Times New Roman"/>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bidi w:val="0"/>
        <w:jc w:val="both"/>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bidi w:val="0"/>
        <w:rPr>
          <w:rFonts w:ascii="Times New Roman" w:hAnsi="Times New Roman"/>
        </w:rPr>
      </w:pPr>
      <w:r>
        <w:rPr/>
        <w:t>(1)</w:t>
        <w:tab/>
        <w:t>The arbitration panel shall weigh evidence and make its award, taking into account, to the extent it deems applicable, custom and usage of the industry;</w:t>
      </w:r>
    </w:p>
    <w:p>
      <w:pPr>
        <w:pStyle w:val="StandardL4"/>
        <w:bidi w:val="0"/>
        <w:rPr>
          <w:rFonts w:ascii="Times New Roman" w:hAnsi="Times New Roman"/>
        </w:rPr>
      </w:pPr>
      <w:r>
        <w:rPr/>
        <w:t>(2)</w:t>
        <w:tab/>
        <w:t>The arbitration panel’s award shall be issued in writing and shall state the factual bases and reasoning of the award; and</w:t>
      </w:r>
    </w:p>
    <w:p>
      <w:pPr>
        <w:pStyle w:val="StandardL4"/>
        <w:bidi w:val="0"/>
        <w:rPr>
          <w:rFonts w:ascii="Times New Roman" w:hAnsi="Times New Roman"/>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bidi w:val="0"/>
        <w:jc w:val="both"/>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bidi w:val="0"/>
        <w:jc w:val="both"/>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bidi w:val="0"/>
        <w:jc w:val="both"/>
        <w:rPr>
          <w:rFonts w:ascii="Times New Roman" w:hAnsi="Times New Roman"/>
        </w:rPr>
      </w:pPr>
      <w:r>
        <w:rPr/>
        <w:t>(ix)</w:t>
        <w:tab/>
        <w:t>All time limits stated in this Section 22 are for the convenience of the Parties and may be altered upon mutual agreement of the Parties.</w:t>
      </w:r>
    </w:p>
    <w:p>
      <w:pPr>
        <w:pStyle w:val="StandardL2"/>
        <w:bidi w:val="0"/>
        <w:jc w:val="both"/>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bidi w:val="0"/>
        <w:jc w:val="both"/>
        <w:rPr>
          <w:rFonts w:ascii="Times New Roman" w:hAnsi="Times New Roman"/>
        </w:rPr>
      </w:pPr>
      <w:r>
        <w:rPr/>
        <w:t>23.</w:t>
        <w:tab/>
      </w:r>
      <w:r>
        <w:rPr>
          <w:b/>
        </w:rPr>
        <w:t>Further Assurances</w:t>
      </w:r>
      <w:r>
        <w:rPr/>
        <w:t xml:space="preserve">.    The Parties agree </w:t>
      </w:r>
      <w:r>
        <w:rPr>
          <w:strike/>
        </w:rPr>
        <w:t>(i) to</w:t>
      </w:r>
      <w:r>
        <w:rPr>
          <w:b/>
          <w:u w:val="double"/>
        </w:rPr>
        <w:t>(i) to</w:t>
      </w:r>
      <w:r>
        <w:rPr/>
        <w:t xml:space="preserve"> furnish upon request to each other such further information, </w:t>
      </w:r>
      <w:r>
        <w:rPr>
          <w:strike/>
        </w:rPr>
        <w:t>(ii) to</w:t>
      </w:r>
      <w:r>
        <w:rPr>
          <w:b/>
          <w:u w:val="double"/>
        </w:rPr>
        <w:t>(ii) to</w:t>
      </w:r>
      <w:r>
        <w:rPr/>
        <w:t xml:space="preserve"> execute and deliver to each other such other documents, and </w:t>
      </w:r>
      <w:r>
        <w:rPr>
          <w:strike/>
        </w:rPr>
        <w:t>(iii) to</w:t>
      </w:r>
      <w:r>
        <w:rPr>
          <w:b/>
          <w:u w:val="double"/>
        </w:rPr>
        <w:t>(iii) to</w:t>
      </w:r>
      <w:r>
        <w:rPr/>
        <w:t xml:space="preserve"> do such other acts and things, all as the other Party may reasonably request, for the purpose of carrying out the intent of this Agreement and the documents referred to in this Agreement.</w:t>
      </w:r>
    </w:p>
    <w:p>
      <w:pPr>
        <w:pStyle w:val="StandardL1"/>
        <w:bidi w:val="0"/>
        <w:jc w:val="both"/>
        <w:rPr>
          <w:rFonts w:ascii="Times New Roman" w:hAnsi="Times New Roman"/>
        </w:rPr>
      </w:pPr>
      <w:r>
        <w:rPr/>
        <w:t>24.</w:t>
        <w:tab/>
      </w:r>
      <w:r>
        <w:rPr>
          <w:b/>
        </w:rPr>
        <w:t>Interpretation</w:t>
      </w:r>
      <w:r>
        <w:rPr/>
        <w:t>.    In construing this Agreement:</w:t>
      </w:r>
    </w:p>
    <w:p>
      <w:pPr>
        <w:pStyle w:val="StandardL2"/>
        <w:bidi w:val="0"/>
        <w:jc w:val="both"/>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bidi w:val="0"/>
        <w:jc w:val="both"/>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bidi w:val="0"/>
        <w:jc w:val="both"/>
        <w:rPr>
          <w:rFonts w:ascii="Times New Roman" w:hAnsi="Times New Roman"/>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bidi w:val="0"/>
        <w:jc w:val="both"/>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bidi w:val="0"/>
        <w:jc w:val="both"/>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bidi w:val="0"/>
        <w:jc w:val="both"/>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bidi w:val="0"/>
        <w:jc w:val="both"/>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r>
        <w:rPr>
          <w:strike/>
        </w:rPr>
        <w:t>.</w:t>
      </w:r>
      <w:r>
        <w:rPr/>
        <w: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jc w:val="both"/>
        <w:rPr>
          <w:rFonts w:ascii="Times New Roman" w:hAnsi="Times New Roman"/>
        </w:rPr>
      </w:pPr>
      <w:r>
        <w:rPr/>
        <w:t>ENRON NORTH AMERICA CORP.</w:t>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t>By:</w:t>
      </w:r>
      <w:r>
        <w:rPr>
          <w:u w:val="single"/>
        </w:rPr>
        <w:tab/>
        <w:tab/>
        <w:tab/>
        <w:tab/>
        <w:tab/>
        <w:tab/>
      </w:r>
    </w:p>
    <w:p>
      <w:pPr>
        <w:pStyle w:val="pleadingsignature"/>
        <w:bidi w:val="0"/>
        <w:jc w:val="both"/>
        <w:rPr>
          <w:rFonts w:ascii="Times New Roman" w:hAnsi="Times New Roman"/>
        </w:rPr>
      </w:pPr>
      <w:r>
        <w:rPr/>
        <w:t>Printed Name:</w:t>
      </w:r>
      <w:r>
        <w:rPr>
          <w:u w:val="single"/>
        </w:rPr>
        <w:tab/>
        <w:tab/>
        <w:tab/>
        <w:tab/>
        <w:tab/>
      </w:r>
    </w:p>
    <w:p>
      <w:pPr>
        <w:pStyle w:val="pleadingsignature"/>
        <w:bidi w:val="0"/>
        <w:jc w:val="both"/>
        <w:rPr>
          <w:rFonts w:ascii="Times New Roman" w:hAnsi="Times New Roman"/>
        </w:rPr>
      </w:pPr>
      <w:r>
        <w:rPr/>
        <w:t>Title:</w:t>
      </w:r>
      <w:r>
        <w:rPr>
          <w:u w:val="single"/>
        </w:rPr>
        <w:tab/>
        <w:tab/>
        <w:tab/>
        <w:tab/>
        <w:tab/>
        <w:tab/>
      </w:r>
    </w:p>
    <w:p>
      <w:pPr>
        <w:pStyle w:val="Normal"/>
        <w:bidi w:val="0"/>
        <w:jc w:val="both"/>
        <w:rPr/>
      </w:pPr>
      <w:r>
        <w:rPr/>
      </w:r>
    </w:p>
    <w:p>
      <w:pPr>
        <w:pStyle w:val="Normal"/>
        <w:bidi w:val="0"/>
        <w:jc w:val="both"/>
        <w:rPr/>
      </w:pPr>
      <w:r>
        <w:rPr/>
      </w:r>
    </w:p>
    <w:p>
      <w:pPr>
        <w:pStyle w:val="Signature"/>
        <w:bidi w:val="0"/>
        <w:spacing w:before="0" w:after="120"/>
        <w:jc w:val="both"/>
        <w:rPr>
          <w:rFonts w:ascii="Times New Roman" w:hAnsi="Times New Roman"/>
        </w:rPr>
      </w:pPr>
      <w:r>
        <w:rPr/>
        <w:t>Agreed and accepted this</w:t>
      </w:r>
    </w:p>
    <w:p>
      <w:pPr>
        <w:pStyle w:val="Signature"/>
        <w:bidi w:val="0"/>
        <w:jc w:val="both"/>
        <w:rPr>
          <w:rFonts w:ascii="Times New Roman" w:hAnsi="Times New Roman"/>
        </w:rPr>
      </w:pPr>
      <w:r>
        <w:rPr/>
        <w:t>___ day of April, 2001</w:t>
      </w:r>
    </w:p>
    <w:p>
      <w:pPr>
        <w:pStyle w:val="Signature"/>
        <w:bidi w:val="0"/>
        <w:jc w:val="both"/>
        <w:rPr>
          <w:rFonts w:ascii="Times New Roman" w:hAnsi="Times New Roman"/>
        </w:rPr>
      </w:pPr>
      <w:r>
        <w:rPr/>
      </w:r>
    </w:p>
    <w:p>
      <w:pPr>
        <w:pStyle w:val="Signature"/>
        <w:bidi w:val="0"/>
        <w:jc w:val="both"/>
        <w:rPr>
          <w:rFonts w:ascii="Times New Roman" w:hAnsi="Times New Roman"/>
        </w:rPr>
      </w:pPr>
      <w:r>
        <w:rPr/>
      </w:r>
    </w:p>
    <w:p>
      <w:pPr>
        <w:pStyle w:val="Signature"/>
        <w:bidi w:val="0"/>
        <w:jc w:val="both"/>
        <w:rPr>
          <w:rFonts w:ascii="Times New Roman" w:hAnsi="Times New Roman"/>
        </w:rPr>
      </w:pPr>
      <w:r>
        <w:rPr/>
        <w:t>NORTHWESTERN GENERATION I, LLC</w:t>
      </w:r>
    </w:p>
    <w:p>
      <w:pPr>
        <w:pStyle w:val="Signature"/>
        <w:bidi w:val="0"/>
        <w:jc w:val="both"/>
        <w:rPr>
          <w:rFonts w:ascii="Times New Roman" w:hAnsi="Times New Roman"/>
        </w:rPr>
      </w:pPr>
      <w:r>
        <w:rPr/>
      </w:r>
    </w:p>
    <w:p>
      <w:pPr>
        <w:pStyle w:val="Signature"/>
        <w:bidi w:val="0"/>
        <w:jc w:val="both"/>
        <w:rPr>
          <w:rFonts w:ascii="Times New Roman" w:hAnsi="Times New Roman"/>
        </w:rPr>
      </w:pPr>
      <w:r>
        <w:rPr/>
        <w:t>By: NorthWestern Growth Corporation, its member</w:t>
      </w:r>
    </w:p>
    <w:p>
      <w:pPr>
        <w:pStyle w:val="Signature"/>
        <w:bidi w:val="0"/>
        <w:jc w:val="both"/>
        <w:rPr>
          <w:rFonts w:ascii="Times New Roman" w:hAnsi="Times New Roman"/>
        </w:rPr>
      </w:pPr>
      <w:r>
        <w:rPr/>
      </w:r>
    </w:p>
    <w:p>
      <w:pPr>
        <w:pStyle w:val="Signature"/>
        <w:bidi w:val="0"/>
        <w:jc w:val="both"/>
        <w:rPr>
          <w:rFonts w:ascii="Times New Roman" w:hAnsi="Times New Roman"/>
        </w:rPr>
      </w:pPr>
      <w:r>
        <w:rPr/>
        <w:t xml:space="preserve">By: </w:t>
      </w:r>
      <w:r>
        <w:rPr>
          <w:u w:val="single"/>
        </w:rPr>
        <w:tab/>
        <w:tab/>
        <w:tab/>
        <w:tab/>
        <w:tab/>
        <w:tab/>
      </w:r>
    </w:p>
    <w:p>
      <w:pPr>
        <w:pStyle w:val="Signature"/>
        <w:bidi w:val="0"/>
        <w:jc w:val="both"/>
        <w:rPr>
          <w:rFonts w:ascii="Times New Roman" w:hAnsi="Times New Roman"/>
        </w:rPr>
      </w:pPr>
      <w:r>
        <w:rPr/>
        <w:t>Printed Name:</w:t>
        <w:tab/>
      </w:r>
      <w:r>
        <w:rPr>
          <w:u w:val="single"/>
        </w:rPr>
        <w:tab/>
        <w:tab/>
        <w:tab/>
        <w:tab/>
      </w:r>
    </w:p>
    <w:p>
      <w:pPr>
        <w:pStyle w:val="Signature"/>
        <w:bidi w:val="0"/>
        <w:jc w:val="both"/>
        <w:rPr>
          <w:rFonts w:ascii="Times New Roman" w:hAnsi="Times New Roman"/>
        </w:rPr>
      </w:pPr>
      <w:r>
        <w:rPr/>
        <w:t>Title:</w:t>
      </w:r>
      <w:r>
        <w:rPr>
          <w:u w:val="single"/>
        </w:rPr>
        <w:tab/>
        <w:tab/>
        <w:tab/>
        <w:tab/>
        <w:tab/>
        <w:tab/>
      </w:r>
      <w:r>
        <w:br w:type="page"/>
      </w:r>
    </w:p>
    <w:p>
      <w:pPr>
        <w:pStyle w:val="Normal"/>
        <w:bidi w:val="0"/>
        <w:jc w:val="center"/>
        <w:rPr>
          <w:b/>
          <w:sz w:val="24"/>
          <w:u w:val="double"/>
        </w:rPr>
      </w:pPr>
      <w:r>
        <w:rPr>
          <w:b/>
          <w:sz w:val="24"/>
          <w:u w:val="double"/>
        </w:rPr>
        <w:t>Schedules and Exhibits</w:t>
      </w:r>
    </w:p>
    <w:p>
      <w:pPr>
        <w:pStyle w:val="Normal"/>
        <w:bidi w:val="0"/>
        <w:jc w:val="start"/>
        <w:rPr>
          <w:b/>
          <w:u w:val="double"/>
        </w:rPr>
      </w:pPr>
      <w:r>
        <w:rPr>
          <w:b/>
          <w:u w:val="double"/>
        </w:rPr>
      </w:r>
    </w:p>
    <w:p>
      <w:pPr>
        <w:pStyle w:val="Normal"/>
        <w:bidi w:val="0"/>
        <w:jc w:val="start"/>
        <w:rPr>
          <w:b/>
          <w:u w:val="double"/>
        </w:rPr>
      </w:pPr>
      <w:r>
        <w:rPr>
          <w:b/>
          <w:u w:val="double"/>
        </w:rPr>
      </w:r>
    </w:p>
    <w:p>
      <w:pPr>
        <w:pStyle w:val="BodyText"/>
        <w:bidi w:val="0"/>
        <w:ind w:hanging="0"/>
        <w:rPr>
          <w:rFonts w:ascii="Times New Roman" w:hAnsi="Times New Roman"/>
          <w:b/>
          <w:u w:val="double"/>
        </w:rPr>
      </w:pPr>
      <w:r>
        <w:rPr>
          <w:b/>
          <w:u w:val="double"/>
        </w:rPr>
        <w:t>Schedule I</w:t>
      </w:r>
      <w:r>
        <w:rPr/>
        <w:tab/>
        <w:tab/>
        <w:tab/>
      </w:r>
      <w:r>
        <w:rPr>
          <w:b/>
          <w:u w:val="double"/>
        </w:rPr>
        <w:t>Location of Second Turbine</w:t>
      </w:r>
    </w:p>
    <w:p>
      <w:pPr>
        <w:pStyle w:val="BodyText"/>
        <w:bidi w:val="0"/>
        <w:ind w:hanging="0"/>
        <w:rPr>
          <w:rFonts w:ascii="Times New Roman" w:hAnsi="Times New Roman"/>
          <w:b/>
          <w:u w:val="double"/>
        </w:rPr>
      </w:pPr>
      <w:r>
        <w:rPr>
          <w:b/>
          <w:u w:val="double"/>
        </w:rPr>
        <w:t>Schedule II</w:t>
      </w:r>
      <w:r>
        <w:rPr/>
        <w:tab/>
        <w:tab/>
        <w:tab/>
      </w:r>
      <w:r>
        <w:rPr>
          <w:b/>
          <w:u w:val="double"/>
        </w:rPr>
        <w:t>Remaining Purchase Amount Installments</w:t>
      </w:r>
    </w:p>
    <w:p>
      <w:pPr>
        <w:pStyle w:val="BodyText"/>
        <w:bidi w:val="0"/>
        <w:ind w:hanging="0"/>
        <w:rPr>
          <w:rFonts w:ascii="Times New Roman" w:hAnsi="Times New Roman"/>
          <w:b/>
          <w:u w:val="double"/>
        </w:rPr>
      </w:pPr>
      <w:r>
        <w:rPr>
          <w:b/>
          <w:u w:val="double"/>
        </w:rPr>
        <w:t>Exhibit A</w:t>
      </w:r>
      <w:r>
        <w:rPr/>
        <w:tab/>
        <w:tab/>
        <w:tab/>
      </w:r>
      <w:r>
        <w:rPr>
          <w:b/>
          <w:u w:val="double"/>
        </w:rPr>
        <w:t>ENA Promissory Note</w:t>
      </w:r>
    </w:p>
    <w:p>
      <w:pPr>
        <w:pStyle w:val="BodyText"/>
        <w:bidi w:val="0"/>
        <w:ind w:hanging="0"/>
        <w:rPr>
          <w:rFonts w:ascii="Times New Roman" w:hAnsi="Times New Roman"/>
          <w:b/>
          <w:u w:val="double"/>
        </w:rPr>
      </w:pPr>
      <w:r>
        <w:rPr>
          <w:b/>
          <w:u w:val="double"/>
        </w:rPr>
        <w:t>Exhibit B</w:t>
      </w:r>
      <w:r>
        <w:rPr/>
        <w:tab/>
        <w:tab/>
        <w:tab/>
      </w:r>
      <w:r>
        <w:rPr>
          <w:b/>
          <w:u w:val="double"/>
        </w:rPr>
        <w:t>Turbine Contract Assignment and Assumption Agreement</w:t>
      </w:r>
    </w:p>
    <w:p>
      <w:pPr>
        <w:pStyle w:val="BodyText"/>
        <w:bidi w:val="0"/>
        <w:ind w:hanging="0"/>
        <w:rPr>
          <w:rFonts w:ascii="Times New Roman" w:hAnsi="Times New Roman"/>
          <w:b/>
          <w:u w:val="double"/>
        </w:rPr>
      </w:pPr>
      <w:r>
        <w:rPr>
          <w:b/>
          <w:u w:val="double"/>
        </w:rPr>
        <w:t>Exhibit C</w:t>
      </w:r>
      <w:r>
        <w:rPr/>
        <w:tab/>
        <w:tab/>
        <w:tab/>
      </w:r>
      <w:r>
        <w:rPr>
          <w:b/>
          <w:u w:val="double"/>
        </w:rPr>
        <w:t>LLC Agreement</w:t>
      </w:r>
    </w:p>
    <w:p>
      <w:pPr>
        <w:pStyle w:val="BodyText"/>
        <w:bidi w:val="0"/>
        <w:ind w:hanging="0"/>
        <w:rPr>
          <w:rFonts w:ascii="Times New Roman" w:hAnsi="Times New Roman"/>
          <w:b/>
          <w:u w:val="double"/>
        </w:rPr>
      </w:pPr>
      <w:r>
        <w:rPr>
          <w:b/>
          <w:u w:val="double"/>
        </w:rPr>
        <w:t>Exhibit D</w:t>
      </w:r>
      <w:r>
        <w:rPr/>
        <w:tab/>
        <w:tab/>
        <w:tab/>
      </w:r>
      <w:r>
        <w:rPr>
          <w:b/>
          <w:u w:val="double"/>
        </w:rPr>
        <w:t>NorSub Promissory Note</w:t>
      </w:r>
    </w:p>
    <w:p>
      <w:pPr>
        <w:pStyle w:val="BodyText"/>
        <w:bidi w:val="0"/>
        <w:ind w:hanging="0"/>
        <w:rPr>
          <w:rFonts w:ascii="Times New Roman" w:hAnsi="Times New Roman"/>
          <w:b/>
          <w:u w:val="double"/>
        </w:rPr>
      </w:pPr>
      <w:r>
        <w:rPr>
          <w:b/>
          <w:u w:val="double"/>
        </w:rPr>
        <w:t>Exhibit E</w:t>
      </w:r>
      <w:r>
        <w:rPr/>
        <w:tab/>
        <w:tab/>
        <w:tab/>
      </w:r>
      <w:r>
        <w:rPr>
          <w:b/>
          <w:u w:val="double"/>
        </w:rPr>
        <w:t>NorthWestern Turbine Contract Guaranty</w:t>
      </w:r>
    </w:p>
    <w:p>
      <w:pPr>
        <w:pStyle w:val="BodyText"/>
        <w:bidi w:val="0"/>
        <w:ind w:hanging="0"/>
        <w:rPr>
          <w:rFonts w:ascii="Times New Roman" w:hAnsi="Times New Roman"/>
          <w:b/>
          <w:u w:val="double"/>
        </w:rPr>
      </w:pPr>
      <w:r>
        <w:rPr>
          <w:b/>
          <w:u w:val="double"/>
        </w:rPr>
        <w:t>Exhibit F</w:t>
      </w:r>
      <w:r>
        <w:rPr/>
        <w:tab/>
        <w:tab/>
        <w:tab/>
      </w:r>
      <w:r>
        <w:rPr>
          <w:b/>
          <w:u w:val="double"/>
        </w:rPr>
        <w:t>Escrow Agreement</w:t>
      </w:r>
    </w:p>
    <w:p>
      <w:pPr>
        <w:pStyle w:val="BodyText"/>
        <w:bidi w:val="0"/>
        <w:ind w:hanging="0"/>
        <w:rPr>
          <w:rFonts w:ascii="Times New Roman" w:hAnsi="Times New Roman"/>
          <w:b/>
          <w:u w:val="double"/>
        </w:rPr>
      </w:pPr>
      <w:r>
        <w:rPr>
          <w:b/>
          <w:u w:val="double"/>
        </w:rPr>
        <w:t>Exhibit G</w:t>
      </w:r>
      <w:r>
        <w:rPr/>
        <w:tab/>
        <w:tab/>
        <w:tab/>
      </w:r>
      <w:r>
        <w:rPr>
          <w:b/>
          <w:u w:val="double"/>
        </w:rPr>
        <w:t>NorthWestern Agreement Guaranty</w:t>
      </w:r>
      <w:r>
        <w:br w:type="page"/>
      </w:r>
    </w:p>
    <w:p>
      <w:pPr>
        <w:pStyle w:val="BodyText"/>
        <w:bidi w:val="0"/>
        <w:spacing w:before="0" w:after="0"/>
        <w:ind w:hanging="0"/>
        <w:jc w:val="center"/>
        <w:rPr>
          <w:rFonts w:ascii="Times New Roman" w:hAnsi="Times New Roman"/>
          <w:b/>
          <w:u w:val="double"/>
        </w:rPr>
      </w:pPr>
      <w:r>
        <w:rPr>
          <w:b/>
          <w:u w:val="double"/>
        </w:rPr>
        <w:t>Schedule I</w:t>
      </w:r>
    </w:p>
    <w:p>
      <w:pPr>
        <w:pStyle w:val="BodyText"/>
        <w:bidi w:val="0"/>
        <w:ind w:hanging="0"/>
        <w:jc w:val="center"/>
        <w:rPr>
          <w:rFonts w:ascii="Times New Roman" w:hAnsi="Times New Roman"/>
          <w:b/>
          <w:u w:val="double"/>
        </w:rPr>
      </w:pPr>
      <w:r>
        <w:rPr>
          <w:b/>
          <w:u w:val="double"/>
        </w:rPr>
        <w:t>Location of Second Turbine</w:t>
      </w:r>
    </w:p>
    <w:p>
      <w:pPr>
        <w:pStyle w:val="BodyText"/>
        <w:bidi w:val="0"/>
        <w:spacing w:before="0" w:after="0"/>
        <w:ind w:hanging="0"/>
        <w:jc w:val="start"/>
        <w:rPr>
          <w:rFonts w:ascii="Times New Roman" w:hAnsi="Times New Roman"/>
          <w:b/>
          <w:u w:val="double"/>
        </w:rPr>
      </w:pPr>
      <w:r>
        <w:rPr>
          <w:b/>
          <w:u w:val="double"/>
        </w:rPr>
        <w:t>Gas Turbine:</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Newport News Marine Terminal</w:t>
      </w:r>
    </w:p>
    <w:p>
      <w:pPr>
        <w:pStyle w:val="BodyText"/>
        <w:bidi w:val="0"/>
        <w:spacing w:before="0" w:after="0"/>
        <w:ind w:hanging="0"/>
        <w:jc w:val="start"/>
        <w:rPr>
          <w:rFonts w:ascii="Times New Roman" w:hAnsi="Times New Roman"/>
          <w:b/>
          <w:u w:val="double"/>
        </w:rPr>
      </w:pPr>
      <w:r>
        <w:rPr>
          <w:b/>
          <w:u w:val="double"/>
        </w:rPr>
        <w:t>25th Street &amp; Warwick Blvd.</w:t>
      </w:r>
    </w:p>
    <w:p>
      <w:pPr>
        <w:pStyle w:val="BodyText"/>
        <w:bidi w:val="0"/>
        <w:ind w:hanging="0"/>
        <w:jc w:val="start"/>
        <w:rPr>
          <w:rFonts w:ascii="Times New Roman" w:hAnsi="Times New Roman"/>
          <w:b/>
          <w:u w:val="double"/>
        </w:rPr>
      </w:pPr>
      <w:r>
        <w:rPr>
          <w:b/>
          <w:u w:val="double"/>
        </w:rPr>
        <w:t>Newport News, VA    23607</w:t>
      </w:r>
    </w:p>
    <w:p>
      <w:pPr>
        <w:pStyle w:val="BodyText"/>
        <w:bidi w:val="0"/>
        <w:spacing w:before="0" w:after="0"/>
        <w:ind w:hanging="0"/>
        <w:jc w:val="start"/>
        <w:rPr>
          <w:rFonts w:ascii="Times New Roman" w:hAnsi="Times New Roman"/>
          <w:b/>
          <w:u w:val="double"/>
        </w:rPr>
      </w:pPr>
      <w:r>
        <w:rPr>
          <w:b/>
          <w:u w:val="double"/>
        </w:rPr>
        <w:t>Generator:</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Greenport Terminal</w:t>
      </w:r>
    </w:p>
    <w:p>
      <w:pPr>
        <w:pStyle w:val="BodyText"/>
        <w:bidi w:val="0"/>
        <w:ind w:hanging="0"/>
        <w:jc w:val="start"/>
        <w:rPr>
          <w:rFonts w:ascii="Times New Roman" w:hAnsi="Times New Roman"/>
          <w:b/>
          <w:u w:val="double"/>
        </w:rPr>
      </w:pPr>
      <w:r>
        <w:rPr>
          <w:b/>
          <w:u w:val="double"/>
        </w:rPr>
        <w:t>Houston, TX    77015</w:t>
      </w:r>
    </w:p>
    <w:p>
      <w:pPr>
        <w:pStyle w:val="BodyText"/>
        <w:bidi w:val="0"/>
        <w:spacing w:before="0" w:after="0"/>
        <w:ind w:hanging="0"/>
        <w:jc w:val="start"/>
        <w:rPr>
          <w:rFonts w:ascii="Times New Roman" w:hAnsi="Times New Roman"/>
          <w:b/>
          <w:u w:val="double"/>
        </w:rPr>
      </w:pPr>
      <w:r>
        <w:rPr>
          <w:b/>
          <w:u w:val="double"/>
        </w:rPr>
        <w:t>Major Components:</w:t>
      </w:r>
    </w:p>
    <w:p>
      <w:pPr>
        <w:pStyle w:val="BodyText"/>
        <w:bidi w:val="0"/>
        <w:spacing w:before="0" w:after="0"/>
        <w:ind w:hanging="0"/>
        <w:jc w:val="start"/>
        <w:rPr>
          <w:rFonts w:ascii="Times New Roman" w:hAnsi="Times New Roman"/>
          <w:b/>
          <w:u w:val="double"/>
        </w:rPr>
      </w:pPr>
      <w:r>
        <w:rPr>
          <w:b/>
          <w:u w:val="double"/>
        </w:rPr>
      </w:r>
    </w:p>
    <w:p>
      <w:pPr>
        <w:pStyle w:val="BodyText"/>
        <w:bidi w:val="0"/>
        <w:spacing w:before="0" w:after="0"/>
        <w:ind w:hanging="0"/>
        <w:jc w:val="start"/>
        <w:rPr>
          <w:rFonts w:ascii="Times New Roman" w:hAnsi="Times New Roman"/>
          <w:b/>
          <w:u w:val="double"/>
        </w:rPr>
      </w:pPr>
      <w:r>
        <w:rPr>
          <w:b/>
          <w:u w:val="double"/>
        </w:rPr>
        <w:t>Tuloma Stevedoring, Inc.</w:t>
      </w:r>
    </w:p>
    <w:p>
      <w:pPr>
        <w:pStyle w:val="BodyText"/>
        <w:bidi w:val="0"/>
        <w:spacing w:before="0" w:after="0"/>
        <w:ind w:hanging="0"/>
        <w:jc w:val="start"/>
        <w:rPr>
          <w:rFonts w:ascii="Times New Roman" w:hAnsi="Times New Roman"/>
          <w:b/>
          <w:u w:val="double"/>
        </w:rPr>
      </w:pPr>
      <w:r>
        <w:rPr>
          <w:b/>
          <w:u w:val="double"/>
        </w:rPr>
        <w:t>5275 West Channel Rd</w:t>
      </w:r>
    </w:p>
    <w:p>
      <w:pPr>
        <w:pStyle w:val="BodyText"/>
        <w:bidi w:val="0"/>
        <w:ind w:hanging="0"/>
        <w:jc w:val="start"/>
        <w:rPr>
          <w:rFonts w:ascii="Times New Roman" w:hAnsi="Times New Roman"/>
          <w:b/>
          <w:u w:val="double"/>
        </w:rPr>
      </w:pPr>
      <w:r>
        <w:rPr>
          <w:b/>
          <w:u w:val="double"/>
        </w:rPr>
        <w:t>Catoosa, OK    74015</w:t>
      </w:r>
    </w:p>
    <w:p>
      <w:pPr>
        <w:pStyle w:val="BodyText"/>
        <w:bidi w:val="0"/>
        <w:ind w:hanging="0"/>
        <w:jc w:val="start"/>
        <w:rPr>
          <w:rFonts w:ascii="Times New Roman" w:hAnsi="Times New Roman"/>
          <w:b/>
          <w:u w:val="double"/>
        </w:rPr>
      </w:pPr>
      <w:r>
        <w:rPr>
          <w:b/>
          <w:u w:val="double"/>
        </w:rPr>
        <w:t>and</w:t>
      </w:r>
    </w:p>
    <w:p>
      <w:pPr>
        <w:pStyle w:val="BodyText"/>
        <w:bidi w:val="0"/>
        <w:spacing w:before="0" w:after="0"/>
        <w:ind w:hanging="0"/>
        <w:jc w:val="start"/>
        <w:rPr>
          <w:rFonts w:ascii="Times New Roman" w:hAnsi="Times New Roman"/>
          <w:b/>
          <w:u w:val="double"/>
        </w:rPr>
      </w:pPr>
      <w:r>
        <w:rPr>
          <w:b/>
          <w:u w:val="double"/>
        </w:rPr>
        <w:t>Fritz Companies, Inc.</w:t>
      </w:r>
    </w:p>
    <w:p>
      <w:pPr>
        <w:pStyle w:val="BodyText"/>
        <w:bidi w:val="0"/>
        <w:spacing w:before="0" w:after="0"/>
        <w:ind w:hanging="0"/>
        <w:jc w:val="start"/>
        <w:rPr>
          <w:rFonts w:ascii="Times New Roman" w:hAnsi="Times New Roman"/>
          <w:b/>
          <w:u w:val="double"/>
        </w:rPr>
      </w:pPr>
      <w:r>
        <w:rPr>
          <w:b/>
          <w:u w:val="double"/>
        </w:rPr>
        <w:t>545 S. Bird Creek Avenue</w:t>
      </w:r>
    </w:p>
    <w:p>
      <w:pPr>
        <w:pStyle w:val="BodyText"/>
        <w:bidi w:val="0"/>
        <w:spacing w:before="0" w:after="0"/>
        <w:ind w:hanging="0"/>
        <w:jc w:val="start"/>
        <w:rPr>
          <w:rFonts w:ascii="Times New Roman" w:hAnsi="Times New Roman"/>
          <w:b/>
          <w:u w:val="double"/>
        </w:rPr>
      </w:pPr>
      <w:r>
        <w:rPr>
          <w:b/>
          <w:u w:val="double"/>
        </w:rPr>
        <w:t>Catoosa, OK    74015</w:t>
      </w:r>
      <w:r>
        <w:br w:type="page"/>
      </w:r>
    </w:p>
    <w:p>
      <w:pPr>
        <w:pStyle w:val="BodyText"/>
        <w:bidi w:val="0"/>
        <w:spacing w:before="0" w:after="0"/>
        <w:ind w:hanging="0"/>
        <w:jc w:val="center"/>
        <w:rPr>
          <w:rFonts w:ascii="Times New Roman" w:hAnsi="Times New Roman"/>
          <w:b/>
          <w:u w:val="double"/>
        </w:rPr>
      </w:pPr>
      <w:r>
        <w:rPr>
          <w:b/>
          <w:u w:val="double"/>
        </w:rPr>
        <w:t>Schedule II</w:t>
      </w:r>
    </w:p>
    <w:p>
      <w:pPr>
        <w:pStyle w:val="centered"/>
        <w:bidi w:val="0"/>
        <w:rPr>
          <w:rFonts w:ascii="Times New Roman" w:hAnsi="Times New Roman"/>
          <w:b/>
          <w:sz w:val="24"/>
          <w:u w:val="double"/>
        </w:rPr>
      </w:pPr>
      <w:r>
        <w:rPr>
          <w:b/>
          <w:sz w:val="24"/>
          <w:u w:val="double"/>
        </w:rPr>
        <w:t>Remaining Purchase Amount Installments</w:t>
      </w:r>
    </w:p>
    <w:p>
      <w:pPr>
        <w:pStyle w:val="centered"/>
        <w:bidi w:val="0"/>
        <w:jc w:val="both"/>
        <w:rPr>
          <w:rFonts w:ascii="Times New Roman" w:hAnsi="Times New Roman"/>
          <w:b/>
          <w:u w:val="double"/>
        </w:rPr>
      </w:pPr>
      <w:r>
        <w:rPr>
          <w:b/>
          <w:u w:val="double"/>
        </w:rPr>
      </w:r>
    </w:p>
    <w:p>
      <w:pPr>
        <w:pStyle w:val="BodyText"/>
        <w:bidi w:val="0"/>
        <w:rPr>
          <w:rFonts w:ascii="Times New Roman" w:hAnsi="Times New Roman"/>
          <w:b/>
          <w:u w:val="double"/>
        </w:rPr>
      </w:pPr>
      <w:r>
        <w:rPr>
          <w:b/>
          <w:u w:val="double"/>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jc w:val="both"/>
        <w:rPr>
          <w:b/>
          <w:u w:val="double"/>
        </w:rPr>
      </w:pPr>
      <w:r>
        <w:rPr>
          <w:b/>
          <w:u w:val="double"/>
        </w:rPr>
      </w:r>
    </w:p>
    <w:tbl>
      <w:tblPr>
        <w:tblW w:w="9864" w:type="dxa"/>
        <w:jc w:val="center"/>
        <w:tblInd w:w="0" w:type="dxa"/>
        <w:tblLayout w:type="fixed"/>
        <w:tblCellMar>
          <w:top w:w="0" w:type="dxa"/>
          <w:start w:w="108" w:type="dxa"/>
          <w:bottom w:w="0" w:type="dxa"/>
          <w:end w:w="108" w:type="dxa"/>
        </w:tblCellMar>
      </w:tblPr>
      <w:tblGrid>
        <w:gridCol w:w="4932"/>
        <w:gridCol w:w="4931"/>
      </w:tblGrid>
      <w:tr>
        <w:trPr/>
        <w:tc>
          <w:tcPr>
            <w:tcW w:w="4932" w:type="dxa"/>
            <w:tcBorders/>
          </w:tcPr>
          <w:p>
            <w:pPr>
              <w:pStyle w:val="Normal"/>
              <w:tabs>
                <w:tab w:val="clear" w:pos="720"/>
              </w:tabs>
              <w:bidi w:val="0"/>
              <w:jc w:val="both"/>
              <w:rPr/>
            </w:pPr>
            <w:r>
              <w:rPr>
                <w:b/>
              </w:rPr>
              <w:tab/>
              <w:tab/>
            </w:r>
            <w:r>
              <w:rPr>
                <w:b/>
                <w:u w:val="double"/>
              </w:rPr>
              <w:t>Payment Date</w:t>
            </w:r>
          </w:p>
        </w:tc>
        <w:tc>
          <w:tcPr>
            <w:tcW w:w="4931" w:type="dxa"/>
            <w:tcBorders/>
          </w:tcPr>
          <w:p>
            <w:pPr>
              <w:pStyle w:val="Normal"/>
              <w:tabs>
                <w:tab w:val="clear" w:pos="720"/>
              </w:tabs>
              <w:bidi w:val="0"/>
              <w:jc w:val="both"/>
              <w:rPr/>
            </w:pPr>
            <w:r>
              <w:rPr>
                <w:b/>
              </w:rPr>
              <w:tab/>
            </w:r>
            <w:r>
              <w:rPr>
                <w:b/>
                <w:u w:val="double"/>
              </w:rPr>
              <w:t>Payment Amount</w:t>
            </w:r>
          </w:p>
        </w:tc>
      </w:tr>
      <w:tr>
        <w:trPr>
          <w:trHeight w:val="400" w:hRule="atLeast"/>
        </w:trPr>
        <w:tc>
          <w:tcPr>
            <w:tcW w:w="4932" w:type="dxa"/>
            <w:tcBorders/>
            <w:vAlign w:val="center"/>
          </w:tcPr>
          <w:p>
            <w:pPr>
              <w:pStyle w:val="Heading2"/>
              <w:bidi w:val="0"/>
              <w:rPr/>
            </w:pPr>
            <w:r>
              <w:rPr/>
              <w:tab/>
            </w:r>
            <w:r>
              <w:rPr>
                <w:b/>
                <w:u w:val="double"/>
              </w:rPr>
              <w:t>May 25, 2001</w:t>
            </w:r>
          </w:p>
        </w:tc>
        <w:tc>
          <w:tcPr>
            <w:tcW w:w="4931" w:type="dxa"/>
            <w:tcBorders/>
            <w:vAlign w:val="center"/>
          </w:tcPr>
          <w:p>
            <w:pPr>
              <w:pStyle w:val="Normal"/>
              <w:tabs>
                <w:tab w:val="clear" w:pos="720"/>
                <w:tab w:val="decimal" w:pos="2052" w:leader="none"/>
              </w:tabs>
              <w:bidi w:val="0"/>
              <w:jc w:val="both"/>
              <w:rPr/>
            </w:pPr>
            <w:r>
              <w:rPr>
                <w:b/>
                <w:u w:val="double"/>
              </w:rPr>
              <w:t>$1,339,275</w:t>
            </w:r>
          </w:p>
        </w:tc>
      </w:tr>
      <w:tr>
        <w:trPr>
          <w:trHeight w:val="400" w:hRule="atLeast"/>
        </w:trPr>
        <w:tc>
          <w:tcPr>
            <w:tcW w:w="4932" w:type="dxa"/>
            <w:tcBorders/>
            <w:vAlign w:val="center"/>
          </w:tcPr>
          <w:p>
            <w:pPr>
              <w:pStyle w:val="Heading2"/>
              <w:bidi w:val="0"/>
              <w:rPr/>
            </w:pPr>
            <w:r>
              <w:rPr/>
              <w:tab/>
            </w:r>
            <w:r>
              <w:rPr>
                <w:b/>
                <w:u w:val="double"/>
              </w:rPr>
              <w:t>June 25, 2001</w:t>
            </w:r>
          </w:p>
        </w:tc>
        <w:tc>
          <w:tcPr>
            <w:tcW w:w="4931" w:type="dxa"/>
            <w:tcBorders/>
            <w:vAlign w:val="center"/>
          </w:tcPr>
          <w:p>
            <w:pPr>
              <w:pStyle w:val="Normal"/>
              <w:tabs>
                <w:tab w:val="clear" w:pos="720"/>
                <w:tab w:val="decimal" w:pos="2052" w:leader="none"/>
              </w:tabs>
              <w:bidi w:val="0"/>
              <w:jc w:val="both"/>
              <w:rPr/>
            </w:pPr>
            <w:r>
              <w:rPr>
                <w:b/>
                <w:u w:val="double"/>
              </w:rPr>
              <w:t>1,147,950</w:t>
            </w:r>
          </w:p>
        </w:tc>
      </w:tr>
      <w:tr>
        <w:trPr>
          <w:trHeight w:val="400" w:hRule="atLeast"/>
        </w:trPr>
        <w:tc>
          <w:tcPr>
            <w:tcW w:w="4932" w:type="dxa"/>
            <w:tcBorders/>
            <w:vAlign w:val="center"/>
          </w:tcPr>
          <w:p>
            <w:pPr>
              <w:pStyle w:val="Heading2"/>
              <w:bidi w:val="0"/>
              <w:rPr/>
            </w:pPr>
            <w:r>
              <w:rPr/>
              <w:tab/>
            </w:r>
            <w:r>
              <w:rPr>
                <w:b/>
                <w:u w:val="double"/>
              </w:rPr>
              <w:t>July 25, 2001</w:t>
            </w:r>
          </w:p>
        </w:tc>
        <w:tc>
          <w:tcPr>
            <w:tcW w:w="4931" w:type="dxa"/>
            <w:tcBorders/>
            <w:vAlign w:val="center"/>
          </w:tcPr>
          <w:p>
            <w:pPr>
              <w:pStyle w:val="Normal"/>
              <w:tabs>
                <w:tab w:val="clear" w:pos="720"/>
                <w:tab w:val="decimal" w:pos="2052" w:leader="none"/>
              </w:tabs>
              <w:bidi w:val="0"/>
              <w:jc w:val="both"/>
              <w:rPr/>
            </w:pPr>
            <w:r>
              <w:rPr>
                <w:b/>
                <w:u w:val="double"/>
              </w:rPr>
              <w:t>765,300</w:t>
            </w:r>
          </w:p>
        </w:tc>
      </w:tr>
      <w:tr>
        <w:trPr>
          <w:trHeight w:val="400" w:hRule="atLeast"/>
        </w:trPr>
        <w:tc>
          <w:tcPr>
            <w:tcW w:w="4932" w:type="dxa"/>
            <w:tcBorders/>
            <w:vAlign w:val="center"/>
          </w:tcPr>
          <w:p>
            <w:pPr>
              <w:pStyle w:val="Heading2"/>
              <w:bidi w:val="0"/>
              <w:rPr/>
            </w:pPr>
            <w:r>
              <w:rPr/>
              <w:tab/>
            </w:r>
            <w:r>
              <w:rPr>
                <w:b/>
                <w:u w:val="double"/>
              </w:rPr>
              <w:t>August 25, 2001</w:t>
            </w:r>
          </w:p>
        </w:tc>
        <w:tc>
          <w:tcPr>
            <w:tcW w:w="4931" w:type="dxa"/>
            <w:tcBorders/>
            <w:vAlign w:val="center"/>
          </w:tcPr>
          <w:p>
            <w:pPr>
              <w:pStyle w:val="Normal"/>
              <w:tabs>
                <w:tab w:val="clear" w:pos="720"/>
                <w:tab w:val="decimal" w:pos="2052" w:leader="none"/>
              </w:tabs>
              <w:bidi w:val="0"/>
              <w:jc w:val="both"/>
              <w:rPr/>
            </w:pPr>
            <w:r>
              <w:rPr>
                <w:b/>
                <w:u w:val="double"/>
              </w:rPr>
              <w:t>765,300</w:t>
            </w:r>
          </w:p>
        </w:tc>
      </w:tr>
      <w:tr>
        <w:trPr>
          <w:trHeight w:val="400" w:hRule="atLeast"/>
        </w:trPr>
        <w:tc>
          <w:tcPr>
            <w:tcW w:w="4932" w:type="dxa"/>
            <w:tcBorders/>
            <w:vAlign w:val="center"/>
          </w:tcPr>
          <w:p>
            <w:pPr>
              <w:pStyle w:val="Heading2"/>
              <w:bidi w:val="0"/>
              <w:rPr/>
            </w:pPr>
            <w:r>
              <w:rPr/>
              <w:tab/>
            </w:r>
            <w:r>
              <w:rPr>
                <w:b/>
                <w:u w:val="double"/>
              </w:rPr>
              <w:t>September 25, 2001</w:t>
            </w:r>
          </w:p>
        </w:tc>
        <w:tc>
          <w:tcPr>
            <w:tcW w:w="4931" w:type="dxa"/>
            <w:tcBorders/>
            <w:vAlign w:val="center"/>
          </w:tcPr>
          <w:p>
            <w:pPr>
              <w:pStyle w:val="Normal"/>
              <w:tabs>
                <w:tab w:val="clear" w:pos="720"/>
                <w:tab w:val="decimal" w:pos="2052" w:leader="none"/>
              </w:tabs>
              <w:bidi w:val="0"/>
              <w:jc w:val="both"/>
              <w:rPr/>
            </w:pPr>
            <w:r>
              <w:rPr>
                <w:b/>
                <w:u w:val="double"/>
              </w:rPr>
              <w:t>573,975</w:t>
            </w:r>
          </w:p>
        </w:tc>
      </w:tr>
      <w:tr>
        <w:trPr>
          <w:trHeight w:val="400" w:hRule="atLeast"/>
        </w:trPr>
        <w:tc>
          <w:tcPr>
            <w:tcW w:w="4932" w:type="dxa"/>
            <w:tcBorders/>
            <w:vAlign w:val="center"/>
          </w:tcPr>
          <w:p>
            <w:pPr>
              <w:pStyle w:val="Heading2"/>
              <w:bidi w:val="0"/>
              <w:rPr/>
            </w:pPr>
            <w:r>
              <w:rPr/>
              <w:tab/>
            </w:r>
            <w:r>
              <w:rPr>
                <w:b/>
                <w:u w:val="double"/>
              </w:rPr>
              <w:t>October 25, 2001</w:t>
            </w:r>
          </w:p>
        </w:tc>
        <w:tc>
          <w:tcPr>
            <w:tcW w:w="4931" w:type="dxa"/>
            <w:tcBorders/>
            <w:vAlign w:val="center"/>
          </w:tcPr>
          <w:p>
            <w:pPr>
              <w:pStyle w:val="Normal"/>
              <w:tabs>
                <w:tab w:val="clear" w:pos="720"/>
                <w:tab w:val="decimal" w:pos="2052" w:leader="none"/>
              </w:tabs>
              <w:bidi w:val="0"/>
              <w:jc w:val="both"/>
              <w:rPr/>
            </w:pPr>
            <w:r>
              <w:rPr>
                <w:b/>
                <w:u w:val="double"/>
              </w:rPr>
              <w:t>382,650</w:t>
            </w:r>
          </w:p>
        </w:tc>
      </w:tr>
      <w:tr>
        <w:trPr>
          <w:trHeight w:val="400" w:hRule="atLeast"/>
        </w:trPr>
        <w:tc>
          <w:tcPr>
            <w:tcW w:w="4932" w:type="dxa"/>
            <w:tcBorders/>
            <w:vAlign w:val="center"/>
          </w:tcPr>
          <w:p>
            <w:pPr>
              <w:pStyle w:val="Heading2"/>
              <w:bidi w:val="0"/>
              <w:rPr/>
            </w:pPr>
            <w:r>
              <w:rPr/>
              <w:tab/>
            </w:r>
            <w:r>
              <w:rPr>
                <w:b/>
                <w:u w:val="double"/>
              </w:rPr>
              <w:t>February 25, 2001</w:t>
            </w:r>
          </w:p>
        </w:tc>
        <w:tc>
          <w:tcPr>
            <w:tcW w:w="4931" w:type="dxa"/>
            <w:tcBorders/>
            <w:vAlign w:val="center"/>
          </w:tcPr>
          <w:p>
            <w:pPr>
              <w:pStyle w:val="Normal"/>
              <w:tabs>
                <w:tab w:val="clear" w:pos="720"/>
                <w:tab w:val="decimal" w:pos="2052" w:leader="none"/>
              </w:tabs>
              <w:bidi w:val="0"/>
              <w:jc w:val="both"/>
              <w:rPr/>
            </w:pPr>
            <w:r>
              <w:rPr>
                <w:b/>
                <w:u w:val="double"/>
              </w:rPr>
              <w:t>4,209,150</w:t>
            </w:r>
          </w:p>
        </w:tc>
      </w:tr>
      <w:tr>
        <w:trPr>
          <w:trHeight w:val="400" w:hRule="atLeast"/>
        </w:trPr>
        <w:tc>
          <w:tcPr>
            <w:tcW w:w="4932" w:type="dxa"/>
            <w:tcBorders/>
            <w:vAlign w:val="center"/>
          </w:tcPr>
          <w:p>
            <w:pPr>
              <w:pStyle w:val="Heading2"/>
              <w:bidi w:val="0"/>
              <w:rPr/>
            </w:pPr>
            <w:r>
              <w:rPr/>
              <w:tab/>
            </w:r>
            <w:r>
              <w:rPr>
                <w:b/>
                <w:u w:val="double"/>
              </w:rPr>
              <w:t>March 25, 2002</w:t>
            </w:r>
          </w:p>
        </w:tc>
        <w:tc>
          <w:tcPr>
            <w:tcW w:w="4931" w:type="dxa"/>
            <w:tcBorders/>
            <w:vAlign w:val="center"/>
          </w:tcPr>
          <w:p>
            <w:pPr>
              <w:pStyle w:val="Normal"/>
              <w:tabs>
                <w:tab w:val="clear" w:pos="720"/>
                <w:tab w:val="decimal" w:pos="2052" w:leader="none"/>
              </w:tabs>
              <w:bidi w:val="0"/>
              <w:jc w:val="both"/>
              <w:rPr/>
            </w:pPr>
            <w:r>
              <w:rPr>
                <w:b/>
                <w:u w:val="double"/>
              </w:rPr>
              <w:t>956,625</w:t>
            </w:r>
          </w:p>
        </w:tc>
      </w:tr>
    </w:tbl>
    <w:p>
      <w:pPr>
        <w:pStyle w:val="Normal"/>
        <w:bidi w:val="0"/>
        <w:jc w:val="both"/>
        <w:rPr/>
      </w:pPr>
      <w:r>
        <w:rPr/>
      </w:r>
    </w:p>
    <w:p>
      <w:pPr>
        <w:pStyle w:val="Normal"/>
        <w:bidi w:val="0"/>
        <w:jc w:val="both"/>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Normal"/>
      <w:bidi w:val="0"/>
      <w:spacing w:lineRule="exact" w:line="200"/>
      <w:jc w:val="start"/>
      <w:rPr/>
    </w:pPr>
    <w:r>
      <w:rPr>
        <w:rStyle w:val="zzmpTrailerItem"/>
      </w:rPr>
      <w:t>NY/333343.3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00"/>
      <w:jc w:val="start"/>
      <w:rPr/>
    </w:pPr>
    <w:r>
      <w:rPr>
        <w:rStyle w:val="zzmpTrailerItem"/>
      </w:rPr>
      <w:t>NY/333343.3</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3">
              <wp:simplePos x="0" y="0"/>
              <wp:positionH relativeFrom="margin">
                <wp:align>right</wp:align>
              </wp:positionH>
              <wp:positionV relativeFrom="paragraph">
                <wp:posOffset>635</wp:posOffset>
              </wp:positionV>
              <wp:extent cx="14605" cy="146685"/>
              <wp:effectExtent l="0" t="0" r="0" b="0"/>
              <wp:wrapTopAndBottom/>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z w:val="24"/>
      </w:rPr>
    </w:pPr>
    <w:r>
      <w:rPr>
        <w:b/>
        <w:sz w:val="24"/>
      </w:rPr>
      <w:t>DRAFT</w:t>
    </w:r>
  </w:p>
  <w:p>
    <w:pPr>
      <w:pStyle w:val="Header"/>
      <w:bidi w:val="0"/>
      <w:jc w:val="end"/>
      <w:rPr>
        <w:rFonts w:ascii="Times New Roman" w:hAnsi="Times New Roman"/>
        <w:b/>
        <w:sz w:val="24"/>
      </w:rPr>
    </w:pPr>
    <w:r>
      <w:rPr>
        <w:b/>
        <w:sz w:val="24"/>
      </w:rPr>
      <w:t>FOR DISCUSSION PURPOSES ONLY</w:t>
    </w:r>
  </w:p>
  <w:p>
    <w:pPr>
      <w:pStyle w:val="Header"/>
      <w:bidi w:val="0"/>
      <w:spacing w:before="0" w:after="480"/>
      <w:jc w:val="end"/>
      <w:rPr>
        <w:rFonts w:ascii="Times New Roman" w:hAnsi="Times New Roman"/>
        <w:b/>
        <w:sz w:val="24"/>
      </w:rPr>
    </w:pPr>
    <w:r>
      <w:rPr>
        <w:b/>
        <w:sz w:val="24"/>
      </w:rPr>
      <w:t>APRIL 18,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4605" cy="146685"/>
              <wp:effectExtent l="0" t="0" r="0" b="0"/>
              <wp:wrapTopAndBottom/>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480"/>
      <w:jc w:val="end"/>
      <w:rPr>
        <w:rFonts w:ascii="Times New Roman" w:hAnsi="Times New Roman"/>
        <w:b/>
        <w:sz w:val="24"/>
      </w:rPr>
    </w:pPr>
    <w:r>
      <w:rPr>
        <w:b/>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0"/>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paragraph" w:styleId="Heading2">
    <w:name w:val="heading 2"/>
    <w:basedOn w:val="Normal"/>
    <w:next w:val="Normal"/>
    <w:qFormat/>
    <w:pPr>
      <w:keepNext w:val="true"/>
      <w:widowControl w:val="false"/>
      <w:tabs>
        <w:tab w:val="clear" w:pos="720"/>
        <w:tab w:val="left" w:pos="1134" w:leader="none"/>
      </w:tabs>
      <w:jc w:val="both"/>
    </w:pPr>
    <w:rPr>
      <w:sz w:val="20"/>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sz w:val="20"/>
    </w:rPr>
  </w:style>
  <w:style w:type="paragraph" w:styleId="LetterDate">
    <w:name w:val="Letter Date"/>
    <w:basedOn w:val="Normal"/>
    <w:qFormat/>
    <w:pPr/>
    <w:rPr>
      <w:sz w:val="20"/>
    </w:rPr>
  </w:style>
  <w:style w:type="paragraph" w:styleId="Signatureconnie">
    <w:name w:val="Signatureconnie"/>
    <w:basedOn w:val="Normal"/>
    <w:qFormat/>
    <w:pPr>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z w:val="20"/>
    </w:rPr>
  </w:style>
  <w:style w:type="paragraph" w:styleId="Letterhead">
    <w:name w:val="Letterhead"/>
    <w:basedOn w:val="Normal"/>
    <w:qFormat/>
    <w:pPr>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pPr>
    <w:rPr>
      <w:sz w:val="20"/>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spacing w:before="0" w:after="240"/>
      <w:ind w:firstLine="1440"/>
    </w:pPr>
    <w:rPr/>
  </w:style>
  <w:style w:type="paragraph" w:styleId="StandardCont2">
    <w:name w:val="Standard Cont 2"/>
    <w:basedOn w:val="StandardCont1"/>
    <w:qFormat/>
    <w:pPr>
      <w:spacing w:before="0" w:after="240"/>
      <w:ind w:firstLine="1440"/>
    </w:pPr>
    <w:rPr>
      <w:sz w:val="20"/>
    </w:rPr>
  </w:style>
  <w:style w:type="paragraph" w:styleId="StandardCont3">
    <w:name w:val="Standard Cont 3"/>
    <w:basedOn w:val="StandardCont2"/>
    <w:qFormat/>
    <w:pPr>
      <w:spacing w:before="0" w:after="240"/>
      <w:ind w:firstLine="1440"/>
    </w:pPr>
    <w:rPr>
      <w:sz w:val="20"/>
    </w:rPr>
  </w:style>
  <w:style w:type="paragraph" w:styleId="StandardCont4">
    <w:name w:val="Standard Cont 4"/>
    <w:basedOn w:val="StandardCont3"/>
    <w:qFormat/>
    <w:pPr>
      <w:spacing w:before="0" w:after="240"/>
      <w:ind w:firstLine="1440"/>
    </w:pPr>
    <w:rPr>
      <w:sz w:val="20"/>
    </w:rPr>
  </w:style>
  <w:style w:type="paragraph" w:styleId="StandardCont5">
    <w:name w:val="Standard Cont 5"/>
    <w:basedOn w:val="StandardCont4"/>
    <w:qFormat/>
    <w:pPr>
      <w:spacing w:before="0" w:after="240"/>
      <w:ind w:firstLine="1440"/>
    </w:pPr>
    <w:rPr/>
  </w:style>
  <w:style w:type="paragraph" w:styleId="StandardCont6">
    <w:name w:val="Standard Cont 6"/>
    <w:basedOn w:val="StandardCont5"/>
    <w:qFormat/>
    <w:pPr>
      <w:spacing w:before="0" w:after="240"/>
      <w:ind w:firstLine="1440"/>
    </w:pPr>
    <w:rPr/>
  </w:style>
  <w:style w:type="paragraph" w:styleId="StandardCont7">
    <w:name w:val="Standard Cont 7"/>
    <w:basedOn w:val="StandardCont6"/>
    <w:qFormat/>
    <w:pPr>
      <w:spacing w:before="0" w:after="240"/>
      <w:ind w:firstLine="1440"/>
    </w:pPr>
    <w:rPr/>
  </w:style>
  <w:style w:type="paragraph" w:styleId="StandardCont8">
    <w:name w:val="Standard Cont 8"/>
    <w:basedOn w:val="StandardCont7"/>
    <w:qFormat/>
    <w:pPr>
      <w:spacing w:before="0" w:after="240"/>
      <w:ind w:firstLine="1440"/>
    </w:pPr>
    <w:rPr>
      <w:sz w:val="20"/>
    </w:rPr>
  </w:style>
  <w:style w:type="paragraph" w:styleId="StandardCont9">
    <w:name w:val="Standard Cont 9"/>
    <w:basedOn w:val="StandardCont8"/>
    <w:qFormat/>
    <w:pPr>
      <w:spacing w:before="0" w:after="240"/>
      <w:ind w:firstLine="1440"/>
    </w:pPr>
    <w:rPr>
      <w:sz w:val="20"/>
    </w:rPr>
  </w:style>
  <w:style w:type="paragraph" w:styleId="StandardL1">
    <w:name w:val="Standard_L1"/>
    <w:basedOn w:val="Normal"/>
    <w:next w:val="BodyText"/>
    <w:qFormat/>
    <w:pPr>
      <w:tabs>
        <w:tab w:val="clear" w:pos="720"/>
        <w:tab w:val="left" w:pos="2160" w:leader="none"/>
      </w:tabs>
      <w:spacing w:before="0" w:after="240"/>
      <w:ind w:firstLine="1440"/>
    </w:pPr>
    <w:rPr/>
  </w:style>
  <w:style w:type="paragraph" w:styleId="StandardL2">
    <w:name w:val="Standard_L2"/>
    <w:basedOn w:val="StandardL1"/>
    <w:next w:val="BodyText"/>
    <w:qFormat/>
    <w:pPr>
      <w:spacing w:before="0" w:after="240"/>
      <w:ind w:firstLine="1440"/>
    </w:pPr>
    <w:rPr/>
  </w:style>
  <w:style w:type="paragraph" w:styleId="StandardL3">
    <w:name w:val="Standard_L3"/>
    <w:basedOn w:val="StandardL2"/>
    <w:next w:val="BodyText"/>
    <w:qFormat/>
    <w:pPr>
      <w:tabs>
        <w:tab w:val="left" w:pos="2160" w:leader="none"/>
        <w:tab w:val="left" w:pos="2736" w:leader="none"/>
      </w:tabs>
      <w:spacing w:before="0" w:after="240"/>
      <w:ind w:firstLine="1440" w:start="720"/>
    </w:pPr>
    <w:rPr/>
  </w:style>
  <w:style w:type="paragraph" w:styleId="StandardL4">
    <w:name w:val="Standard_L4"/>
    <w:basedOn w:val="StandardL3"/>
    <w:next w:val="BodyText"/>
    <w:qFormat/>
    <w:pPr>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spacing w:before="0" w:after="240"/>
      <w:ind w:firstLine="2880" w:start="0"/>
      <w:jc w:val="both"/>
    </w:pPr>
    <w:rPr/>
  </w:style>
  <w:style w:type="paragraph" w:styleId="StandardL6">
    <w:name w:val="Standard_L6"/>
    <w:basedOn w:val="StandardL5"/>
    <w:next w:val="BodyText"/>
    <w:qFormat/>
    <w:pPr>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pPr>
    <w:rPr/>
  </w:style>
  <w:style w:type="paragraph" w:styleId="centered">
    <w:name w:val="centered"/>
    <w:basedOn w:val="Normal"/>
    <w:qFormat/>
    <w:pPr>
      <w:widowControl w:val="false"/>
      <w:jc w:val="center"/>
    </w:pPr>
    <w:rPr>
      <w:sz w:val="20"/>
    </w:rPr>
  </w:style>
  <w:style w:type="paragraph" w:styleId="pleadingsignature">
    <w:name w:val="pleading signature"/>
    <w:basedOn w:val="Normal"/>
    <w:qFormat/>
    <w:pPr>
      <w:widowControl w:val="false"/>
      <w:ind w:hanging="0" w:start="4230"/>
    </w:pPr>
    <w:rPr/>
  </w:style>
  <w:style w:type="paragraph" w:styleId="Signature">
    <w:name w:val="Signature"/>
    <w:basedOn w:val="Normal"/>
    <w:pPr>
      <w:widowControl w:val="fals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12502</Words>
  <CharactersWithSpaces>71267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2001-04-19T09:32:00Z</dcterms:created>
  <dc:creator>Carolyn Campbell</dc:creator>
  <dc:description/>
  <dc:language>en-CA</dc:language>
  <cp:lastModifiedBy/>
  <cp:lastPrinted>2001-04-18T09:24:00Z</cp:lastPrinted>
  <dcterms:modified xsi:type="dcterms:W3CDTF">2001-04-19T09:32:00Z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::ODMA\PCDOCS\HOUSTON\44350\2</vt:lpwstr>
  </property>
</Properties>
</file>