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3">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spacing w:before="600" w:after="120"/>
        <w:jc w:val="center"/>
        <w:rPr>
          <w:spacing w:val="110"/>
          <w:sz w:val="36"/>
          <w:u w:val="single"/>
        </w:rPr>
      </w:pPr>
      <w:r>
        <w:rPr>
          <w:spacing w:val="110"/>
          <w:sz w:val="36"/>
          <w:u w:val="single"/>
        </w:rPr>
        <w:t>DRAFT</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680085" cy="965200"/>
                <wp:effectExtent l="0" t="0" r="0" b="0"/>
                <wp:wrapTopAndBottom/>
                <wp:docPr id="2" name="Frame2"/>
                <a:graphic xmlns:a="http://schemas.openxmlformats.org/drawingml/2006/main">
                  <a:graphicData uri="http://schemas.microsoft.com/office/word/2010/wordprocessingShape">
                    <wps:wsp>
                      <wps:cNvSpPr txBox="1"/>
                      <wps:spPr>
                        <a:xfrm>
                          <a:off x="0" y="0"/>
                          <a:ext cx="680085" cy="965200"/>
                        </a:xfrm>
                        <a:prstGeom prst="rect"/>
                        <a:solidFill>
                          <a:srgbClr val="FFFFFF">
                            <a:alpha val="0"/>
                          </a:srgbClr>
                        </a:solidFill>
                      </wps:spPr>
                      <wps:txbx>
                        <w:txbxContent>
                          <w:p>
                            <w:pPr>
                              <w:pStyle w:val="DirectDial"/>
                              <w:rPr/>
                            </w:pPr>
                            <w:bookmarkStart w:id="2" w:name="Sender"/>
                            <w:bookmarkEnd w:id="2"/>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3" w:name="DirectDial"/>
                            <w:bookmarkEnd w:id="3"/>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4" w:name="DirectFax"/>
                            <w:bookmarkEnd w:id="4"/>
                            <w:r>
                              <w:rPr/>
                              <w:br/>
                              <w:t xml:space="preserve">Internet: </w:t>
                            </w:r>
                            <w:r>
                              <w:rPr/>
                              <w:fldChar w:fldCharType="begin"/>
                            </w:r>
                            <w:r>
                              <w:rPr/>
                              <w:instrText xml:space="preserve"> DOCPROPERTY "EMail"</w:instrText>
                            </w:r>
                            <w:r>
                              <w:rPr/>
                              <w:fldChar w:fldCharType="separate"/>
                            </w:r>
                            <w:r>
                              <w:rPr/>
                              <w:t>dmitchel@cwt.com</w:t>
                            </w:r>
                            <w:r>
                              <w:rPr/>
                              <w:fldChar w:fldCharType="end"/>
                            </w:r>
                            <w:bookmarkStart w:id="5" w:name="EMail"/>
                            <w:bookmarkEnd w:id="5"/>
                          </w:p>
                        </w:txbxContent>
                      </wps:txbx>
                      <wps:bodyPr anchor="t" lIns="0" tIns="0" rIns="0" bIns="0">
                        <a:noAutofit/>
                      </wps:bodyPr>
                    </wps:wsp>
                  </a:graphicData>
                </a:graphic>
              </wp:anchor>
            </w:drawing>
          </mc:Choice>
          <mc:Fallback>
            <w:pict>
              <v:rect fillcolor="#FFFFFF" style="position:absolute;rotation:-0;width:53.55pt;height:76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bookmarkStart w:id="6" w:name="Sender"/>
                      <w:bookmarkEnd w:id="6"/>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7" w:name="DirectDial"/>
                      <w:bookmarkEnd w:id="7"/>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8" w:name="DirectFax"/>
                      <w:bookmarkEnd w:id="8"/>
                      <w:r>
                        <w:rPr/>
                        <w:br/>
                        <w:t xml:space="preserve">Internet: </w:t>
                      </w:r>
                      <w:r>
                        <w:rPr/>
                        <w:fldChar w:fldCharType="begin"/>
                      </w:r>
                      <w:r>
                        <w:rPr/>
                        <w:instrText xml:space="preserve"> DOCPROPERTY "EMail"</w:instrText>
                      </w:r>
                      <w:r>
                        <w:rPr/>
                        <w:fldChar w:fldCharType="separate"/>
                      </w:r>
                      <w:r>
                        <w:rPr/>
                        <w:t>dmitchel@cwt.com</w:t>
                      </w:r>
                      <w:r>
                        <w:rPr/>
                        <w:fldChar w:fldCharType="end"/>
                      </w:r>
                      <w:bookmarkStart w:id="9" w:name="EMail"/>
                      <w:bookmarkEnd w:id="9"/>
                    </w:p>
                  </w:txbxContent>
                </v:textbox>
                <w10:wrap type="topAndBottom"/>
              </v:rect>
            </w:pict>
          </mc:Fallback>
        </mc:AlternateContent>
      </w:r>
    </w:p>
    <w:p>
      <w:pPr>
        <w:pStyle w:val="Normal"/>
        <w:spacing w:before="0" w:after="120"/>
        <w:jc w:val="center"/>
        <w:rPr/>
      </w:pPr>
      <w:r>
        <w:rPr/>
        <w:t>MEMORANDUM</w:t>
      </w:r>
    </w:p>
    <w:tbl>
      <w:tblPr>
        <w:tblW w:w="9576" w:type="dxa"/>
        <w:jc w:val="start"/>
        <w:tblInd w:w="0" w:type="dxa"/>
        <w:tblLayout w:type="fixed"/>
        <w:tblCellMar>
          <w:top w:w="0" w:type="dxa"/>
          <w:start w:w="108" w:type="dxa"/>
          <w:bottom w:w="0" w:type="dxa"/>
          <w:end w:w="108" w:type="dxa"/>
        </w:tblCellMar>
      </w:tblPr>
      <w:tblGrid>
        <w:gridCol w:w="1440"/>
        <w:gridCol w:w="4068"/>
        <w:gridCol w:w="4068"/>
      </w:tblGrid>
      <w:tr>
        <w:trPr/>
        <w:tc>
          <w:tcPr>
            <w:tcW w:w="1440" w:type="dxa"/>
            <w:tcBorders/>
          </w:tcPr>
          <w:p>
            <w:pPr>
              <w:pStyle w:val="Normal"/>
              <w:spacing w:before="240" w:after="0"/>
              <w:ind w:end="144"/>
              <w:jc w:val="end"/>
              <w:rPr>
                <w:b/>
              </w:rPr>
            </w:pPr>
            <w:r>
              <w:rPr>
                <w:b/>
              </w:rPr>
              <w:t>To:</w:t>
            </w:r>
          </w:p>
        </w:tc>
        <w:tc>
          <w:tcPr>
            <w:tcW w:w="4068" w:type="dxa"/>
            <w:tcBorders/>
          </w:tcPr>
          <w:p>
            <w:pPr>
              <w:pStyle w:val="Normal"/>
              <w:spacing w:before="240" w:after="0"/>
              <w:ind w:start="144" w:end="0"/>
              <w:rPr>
                <w:lang w:val="en-CA" w:eastAsia="en-CA"/>
              </w:rPr>
            </w:pPr>
            <w:bookmarkStart w:id="10" w:name="To"/>
            <w:bookmarkEnd w:id="10"/>
            <w:r>
              <w:rPr>
                <w:lang w:val="en-CA" w:eastAsia="en-CA"/>
              </w:rPr>
              <w:t>Mark Taylor</w:t>
              <w:br/>
              <w:t>(Enron North America Corp.)</w:t>
            </w:r>
          </w:p>
        </w:tc>
        <w:tc>
          <w:tcPr>
            <w:tcW w:w="4068" w:type="dxa"/>
            <w:tcBorders/>
          </w:tcPr>
          <w:p>
            <w:pPr>
              <w:pStyle w:val="Normal"/>
              <w:snapToGrid w:val="false"/>
              <w:spacing w:before="240" w:after="0"/>
              <w:ind w:start="144" w:end="0"/>
              <w:rPr>
                <w:lang w:val="en-CA" w:eastAsia="en-CA"/>
              </w:rPr>
            </w:pPr>
            <w:r>
              <w:rPr>
                <w:lang w:val="en-CA" w:eastAsia="en-CA"/>
              </w:rPr>
            </w:r>
          </w:p>
        </w:tc>
      </w:tr>
      <w:tr>
        <w:trPr/>
        <w:tc>
          <w:tcPr>
            <w:tcW w:w="1440" w:type="dxa"/>
            <w:tcBorders/>
          </w:tcPr>
          <w:p>
            <w:pPr>
              <w:pStyle w:val="Normal"/>
              <w:spacing w:before="240" w:after="0"/>
              <w:ind w:end="144"/>
              <w:jc w:val="end"/>
              <w:rPr>
                <w:b/>
              </w:rPr>
            </w:pPr>
            <w:r>
              <w:rPr>
                <w:b/>
              </w:rPr>
              <w:t>From:</w:t>
            </w:r>
          </w:p>
        </w:tc>
        <w:tc>
          <w:tcPr>
            <w:tcW w:w="8136" w:type="dxa"/>
            <w:gridSpan w:val="2"/>
            <w:tcBorders/>
          </w:tcPr>
          <w:p>
            <w:pPr>
              <w:pStyle w:val="Normal"/>
              <w:spacing w:before="240" w:after="0"/>
              <w:ind w:start="144" w:end="0"/>
              <w:rPr>
                <w:lang w:val="en-CA" w:eastAsia="en-CA"/>
              </w:rPr>
            </w:pPr>
            <w:bookmarkStart w:id="11" w:name="From"/>
            <w:bookmarkEnd w:id="11"/>
            <w:r>
              <w:rPr>
                <w:lang w:val="en-CA" w:eastAsia="en-CA"/>
              </w:rPr>
              <w:t>Cadwalader, Wickersham &amp; Taft</w:t>
            </w:r>
          </w:p>
        </w:tc>
      </w:tr>
      <w:tr>
        <w:trPr/>
        <w:tc>
          <w:tcPr>
            <w:tcW w:w="1440" w:type="dxa"/>
            <w:tcBorders/>
          </w:tcPr>
          <w:p>
            <w:pPr>
              <w:pStyle w:val="Normal"/>
              <w:spacing w:before="240" w:after="0"/>
              <w:ind w:end="144"/>
              <w:jc w:val="end"/>
              <w:rPr>
                <w:b/>
              </w:rPr>
            </w:pPr>
            <w:bookmarkStart w:id="12" w:name="Date"/>
            <w:bookmarkEnd w:id="12"/>
            <w:r>
              <w:rPr>
                <w:b/>
              </w:rPr>
              <w:t>Date:</w:t>
            </w:r>
          </w:p>
        </w:tc>
        <w:tc>
          <w:tcPr>
            <w:tcW w:w="8136" w:type="dxa"/>
            <w:gridSpan w:val="2"/>
            <w:tcBorders/>
          </w:tcPr>
          <w:p>
            <w:pPr>
              <w:pStyle w:val="Normal"/>
              <w:spacing w:before="240" w:after="0"/>
              <w:ind w:start="144" w:end="0"/>
              <w:rPr/>
            </w:pPr>
            <w:r>
              <w:rPr/>
              <w:t>September 8, 2000</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gridSpan w:val="2"/>
            <w:tcBorders>
              <w:bottom w:val="double" w:sz="4" w:space="0" w:color="000000"/>
            </w:tcBorders>
          </w:tcPr>
          <w:p>
            <w:pPr>
              <w:pStyle w:val="Normal"/>
              <w:tabs>
                <w:tab w:val="clear" w:pos="720"/>
                <w:tab w:val="left" w:pos="7200" w:leader="none"/>
              </w:tabs>
              <w:spacing w:before="240" w:after="240"/>
              <w:ind w:start="144" w:end="720"/>
              <w:jc w:val="both"/>
              <w:rPr>
                <w:u w:val="single"/>
              </w:rPr>
            </w:pPr>
            <w:bookmarkStart w:id="13" w:name="Re"/>
            <w:bookmarkEnd w:id="13"/>
            <w:r>
              <w:rPr>
                <w:u w:val="single"/>
              </w:rPr>
              <w:t>Optional Terminal Rights in Single Equity Swaps</w:t>
            </w:r>
          </w:p>
        </w:tc>
      </w:tr>
      <w:tr>
        <w:trPr/>
        <w:tc>
          <w:tcPr>
            <w:tcW w:w="1440" w:type="dxa"/>
            <w:tcBorders/>
          </w:tcPr>
          <w:p>
            <w:pPr>
              <w:pStyle w:val="Normal"/>
              <w:snapToGrid w:val="false"/>
              <w:ind w:end="144"/>
              <w:jc w:val="end"/>
              <w:rPr>
                <w:b/>
                <w:u w:val="single"/>
              </w:rPr>
            </w:pPr>
            <w:r>
              <w:rPr>
                <w:b/>
                <w:u w:val="single"/>
              </w:rPr>
            </w:r>
          </w:p>
        </w:tc>
        <w:tc>
          <w:tcPr>
            <w:tcW w:w="8136" w:type="dxa"/>
            <w:gridSpan w:val="2"/>
            <w:tcBorders/>
          </w:tcPr>
          <w:p>
            <w:pPr>
              <w:pStyle w:val="Normal"/>
              <w:snapToGrid w:val="false"/>
              <w:ind w:start="144" w:end="0"/>
              <w:rPr>
                <w:b/>
              </w:rPr>
            </w:pPr>
            <w:r>
              <w:rPr>
                <w:b/>
              </w:rPr>
            </w:r>
          </w:p>
        </w:tc>
      </w:tr>
    </w:tbl>
    <w:p>
      <w:pPr>
        <w:pStyle w:val="BodyMain"/>
        <w:spacing w:lineRule="auto" w:line="480"/>
        <w:rPr/>
      </w:pPr>
      <w:bookmarkStart w:id="14" w:name="Body"/>
      <w:bookmarkEnd w:id="14"/>
      <w:r>
        <w:rPr/>
        <w:t xml:space="preserve">From time to time Enron North America Corp. (“ENA”) may enter into one or more single equity swap transactions in which both ENA and the counterparty may terminate the transaction in whole or in part upon notice to the other party.  You have asked us whether such transactions could be deemed to violate the off-trading restrictions under the Commodity Exchange Act, as amended (the “CEA”), 7 U.S.C. § 1 </w:t>
      </w:r>
      <w:r>
        <w:rPr>
          <w:u w:val="single"/>
        </w:rPr>
        <w:t>et</w:t>
      </w:r>
      <w:r>
        <w:rPr/>
        <w:t xml:space="preserve"> </w:t>
      </w:r>
      <w:r>
        <w:rPr>
          <w:u w:val="single"/>
        </w:rPr>
        <w:t>seq</w:t>
      </w:r>
      <w:r>
        <w:rPr/>
        <w:t>. or Commodity Futures Trading Commission (“CFTC”) rules and regulations thereunder.  We have not considered any other issues in this memorandum.  For ease of review, we have kept to a minimum citations to provisions of statutes, rules and regulations, and other authorities.</w:t>
      </w:r>
    </w:p>
    <w:p>
      <w:pPr>
        <w:pStyle w:val="BodyMain"/>
        <w:keepNext w:val="true"/>
        <w:keepLines/>
        <w:spacing w:lineRule="auto" w:line="480"/>
        <w:ind w:hanging="0" w:end="0"/>
        <w:rPr>
          <w:u w:val="single"/>
        </w:rPr>
      </w:pPr>
      <w:r>
        <w:rPr>
          <w:u w:val="single"/>
        </w:rPr>
        <w:t>CONCLUSION</w:t>
      </w:r>
    </w:p>
    <w:p>
      <w:pPr>
        <w:pStyle w:val="BodyMain"/>
        <w:spacing w:lineRule="auto" w:line="480"/>
        <w:rPr/>
      </w:pPr>
      <w:r>
        <w:rPr/>
        <w:t>Based upon the facts, assumptions, discussion and analysis in this memorandum, we conclude that ENA may enter into single equity swap transactions, as described herein, without being deemed to violate the off-exchange trading restrictions under the CEA or the rules or regulations thereunder.</w:t>
      </w:r>
    </w:p>
    <w:p>
      <w:pPr>
        <w:pStyle w:val="BodyMain"/>
        <w:spacing w:lineRule="auto" w:line="480"/>
        <w:ind w:hanging="0" w:end="0"/>
        <w:rPr>
          <w:u w:val="single"/>
        </w:rPr>
      </w:pPr>
      <w:r>
        <w:rPr>
          <w:u w:val="single"/>
        </w:rPr>
        <w:t>FACTS</w:t>
      </w:r>
    </w:p>
    <w:p>
      <w:pPr>
        <w:pStyle w:val="BodyMain"/>
        <w:spacing w:lineRule="auto" w:line="480"/>
        <w:rPr/>
      </w:pPr>
      <w:r>
        <w:rPr/>
        <w:t>You have indicated that each single equity swap transaction will be a total return swap involving a different individual equity security, having a term to maturity of three years or more and will be entered into between ENA and a commercial or institutional counterparty in conjunction with the parties’ lines of business.  You have indicated further that each transaction will be negotiated by the parties as to its material terms based upon individualized counterparty credit risk assessment, and will be documented under International Swaps and Derivatives Association, Inc. (“ISDA”) forms of master agreement in accordance with ENA’s normal and customary procedures, including credit support terms.  However, the credit terms will not replicate a mark-to-market margin and variation margin settlement system designed to eliminate counterparty credit risk exposure (</w:t>
      </w:r>
      <w:r>
        <w:rPr>
          <w:u w:val="single"/>
        </w:rPr>
        <w:t>i.e.</w:t>
      </w:r>
      <w:r>
        <w:rPr/>
        <w:t>, a bilateral margining or collateral arrangement which approximates exchange-style margin requirements).  Members of the general public will not participate in these transactions, nor will these transactions be marketed to the public.</w:t>
      </w:r>
    </w:p>
    <w:p>
      <w:pPr>
        <w:pStyle w:val="BodyMain"/>
        <w:spacing w:lineRule="auto" w:line="480"/>
        <w:rPr/>
      </w:pPr>
      <w:r>
        <w:rPr/>
        <w:t>Either party will have the right to terminate a transaction in whole or in part upon notice to the other party pursuant to an agreement made at the time the transaction is entered into.  In the event of a partial termination of a transaction, the obligations of the parties will continue with respect to that part of the transaction which remains outstanding.</w:t>
      </w:r>
    </w:p>
    <w:p>
      <w:pPr>
        <w:pStyle w:val="BodyMain"/>
        <w:spacing w:lineRule="auto" w:line="480"/>
        <w:ind w:hanging="0" w:end="0"/>
        <w:rPr>
          <w:u w:val="single"/>
        </w:rPr>
      </w:pPr>
      <w:r>
        <w:rPr>
          <w:u w:val="single"/>
        </w:rPr>
        <w:t>DISCUSSION</w:t>
      </w:r>
    </w:p>
    <w:p>
      <w:pPr>
        <w:pStyle w:val="BodyMain"/>
        <w:spacing w:lineRule="auto" w:line="480"/>
        <w:rPr/>
      </w:pPr>
      <w:r>
        <w:rPr/>
        <w:t>Section 4(a) of the CEA generally confines trading of futures contracts in the United States to transactions effected on or subject to the rules of formally organized exchanges which have been designated by the CFTC as contract markets, subject only to certain exceptions.  The CEA and the CFTC’s regulations do not define the term “contract of sale for future delivery,” but the courts and the CFTC have identified certain of its essential characteristics.  A futures contract has been described as a contract for the purchase or sale of a commodity which is:  (i) for future delivery at a price that is established when the contract is initiated; (ii) directly or indirectly offered to the general public; (iii) entered into primarily for the purpose of assuming or shifting price risk without transferring ownership of the underlying commodity; and (iv) typically satisfied through offsetting transactions.  For this purpose, the term “commodity” is defined to include all goods and articles, except onions, and “all services, rights, and interests in which contracts for future delivery are ... dealt in.”  We have presumed that any underlying stock which is the subject of a swap transaction could be viewed to be a commodity under the statutory definition.</w:t>
      </w:r>
    </w:p>
    <w:p>
      <w:pPr>
        <w:pStyle w:val="BodyMain"/>
        <w:spacing w:lineRule="auto" w:line="480"/>
        <w:rPr/>
      </w:pPr>
      <w:r>
        <w:rPr/>
        <w:t>Certain characteristics which may facilitate the trading of futures contracts on exchanges also have been identified, including standardized terms, margin requirements related to price movements, clearing organizations which match trades and guarantee counterparty performance, open and competitive trading in centralized markets, and public price dissemination.  However, there is no exhaustive list of factors, and no particular factor is dispositive of this issue.</w:t>
      </w:r>
    </w:p>
    <w:p>
      <w:pPr>
        <w:pStyle w:val="BodyMain"/>
        <w:spacing w:lineRule="auto" w:line="480"/>
        <w:rPr/>
      </w:pPr>
      <w:r>
        <w:rPr/>
        <w:t>Given that swap transactions function as a risk transfer mechanism, concern has arisen that they may be perceived as having superficial similarities to futures contracts.  If a court or the CFTC were to hold that a swap transaction constitutes a futures contract, the transaction could be unlawful, with the attendant consequences of unenforceability or rescission and CFTC enforcement sanctions.  For example, a swap counterparty or its successor in interest might repudiate its payment obligations under a swap transaction and raise illegality as a defense in an action by the other party seeking payment of amounts due it.</w:t>
      </w:r>
    </w:p>
    <w:p>
      <w:pPr>
        <w:pStyle w:val="BodyMain"/>
        <w:spacing w:lineRule="auto" w:line="480"/>
        <w:ind w:hanging="0" w:end="0"/>
        <w:rPr>
          <w:u w:val="single"/>
        </w:rPr>
      </w:pPr>
      <w:r>
        <w:rPr>
          <w:u w:val="single"/>
        </w:rPr>
        <w:t>CFTC Statement of Policy</w:t>
      </w:r>
    </w:p>
    <w:p>
      <w:pPr>
        <w:pStyle w:val="BodyMain"/>
        <w:spacing w:lineRule="auto" w:line="480"/>
        <w:rPr/>
      </w:pPr>
      <w:r>
        <w:rPr/>
        <w:t xml:space="preserve">To clarify the status of swap transactions under the CEA, the CFTC issued a Statement of Policy Concerning Swap Transactions (the “Policy Statement”) more than ten years ago.  54 Fed. Reg. 30694 (July 21, 1989).  The Policy Statement provides a non-exclusive safe harbor for cash-settled swaps meeting certain criteria which, in the CFTC’s view, distinguish them from futures contracts.  These criteria require that an eligible swap:  (i) be negotiated by the parties as to its material terms, based upon individualized credit determinations; (ii) be terminable, absent default, only with counterparty consent; (iii) not be supported by the credit of a clearing organization or be primarily or routinely supported by a mark-to-market margin and variation margin settlement system designed to eliminate individualized credit risk; (iv) be undertaken in conjunction with the parties’ lines of business; and (v) not be marketed to the public.  For this purpose, a swap is described in the Policy Statement as “an agreement between two parties to exchange a series of cash flows measured by different interest rates, exchange rates, or prices with payments calculated by reference to a principal base (notional amount).”  </w:t>
      </w:r>
      <w:r>
        <w:rPr>
          <w:u w:val="single"/>
        </w:rPr>
        <w:t>I.d.</w:t>
      </w:r>
      <w:r>
        <w:rPr/>
        <w:t xml:space="preserve">, at 30695.  In issuing the Policy Statement, the CFTC intended to provide guidance “to facilitate legitimate market transactions in a field distinguished by innovation and rapid growth.”  </w:t>
      </w:r>
      <w:r>
        <w:rPr>
          <w:u w:val="single"/>
        </w:rPr>
        <w:t>Id</w:t>
      </w:r>
      <w:r>
        <w:rPr/>
        <w:t>. at 30697.</w:t>
      </w:r>
    </w:p>
    <w:p>
      <w:pPr>
        <w:pStyle w:val="BodyMain"/>
        <w:spacing w:lineRule="auto" w:line="480"/>
        <w:rPr/>
      </w:pPr>
      <w:r>
        <w:rPr/>
        <w:t>The Policy Statement is an expression of views by the CFTC that swaps meeting the safe harbor criteria are not appropriately regulated as futures contracts under the CEA.  The Policy Statement should be given substantial judicial deference, but is  not binding on a court.  Thus, the Policy Statement provides assurance that no enforcement action will be taken relating to qualifying swap transactions for violation of the CEA’s off-exchange trading restrictions, but does not foreclose exposure to private litigation risk.  Nor does the Policy Statement have the effect of preempting the potential applicability of state antigambling and antibucket shop laws to swap transactions meeting the safe harbor criteria.</w:t>
      </w:r>
    </w:p>
    <w:p>
      <w:pPr>
        <w:pStyle w:val="BodyMain"/>
        <w:keepNext w:val="true"/>
        <w:keepLines/>
        <w:spacing w:lineRule="auto" w:line="480"/>
        <w:ind w:hanging="0" w:end="0"/>
        <w:rPr>
          <w:u w:val="single"/>
        </w:rPr>
      </w:pPr>
      <w:r>
        <w:rPr>
          <w:u w:val="single"/>
        </w:rPr>
        <w:t>Part 35 Rules</w:t>
      </w:r>
    </w:p>
    <w:p>
      <w:pPr>
        <w:pStyle w:val="BodyMain"/>
        <w:spacing w:lineRule="auto" w:line="480"/>
        <w:rPr/>
      </w:pPr>
      <w:r>
        <w:rPr/>
        <w:t>To provide greater legal certainty for swap transactions, Congress amended the CEA in 1992 to grant the CFTC explicit authority to issue exemptions from all provisions of the CEA (except Section 2(a)(1)(B) relating to securities-based futures contracts), subject to certain conditions.  Pursuant to this authority, the CFTC issued the Part 35 rules shortly thereafter which provide an exemption for certain swap transactions meeting specified criteria from most provisions of the CEA and preempt the applicability of state antigambling and antibucket shop laws to exempted swap transactions. 58 Fed. Reg. 5587 (January 22, 1993).  Both the 1992 amendments to the CEA and the Part 35 rules apply only to the extent that swaps may be subject to the provisions of the CEA, and therefore do not imply that swaps are in fact futures contracts.</w:t>
      </w:r>
    </w:p>
    <w:p>
      <w:pPr>
        <w:pStyle w:val="BodyMain"/>
        <w:spacing w:lineRule="auto" w:line="480"/>
        <w:rPr/>
      </w:pPr>
      <w:r>
        <w:rPr/>
        <w:t>The Part 35 rules require that a qualifying swap agreement (i) be entered into between eligible swap participants, as defined; (ii) not be part of a fungible class of agreements that are standardized as to their material economic terms; (iii) be negotiated by the parties, based upon individualized counterparty credit determinations; and (iv) not be entered into and traded on or through a multilateral transaction execution facility.  The conditions in the Part 35 rules are generally more permissive than those of the Policy Statement, and afford greater latitude in a number of respects.  For example, the Part 35 rules permit the use of any type of bilateral margining or collateral arrangement.  In addition, exemptive relief under the Part 35 rules should be given greater deference by the courts than the Policy Statement in that the CFTC has adopted the exemption in the Part 35 rules pursuant to express statutory authority, while the Policy Statement is more analogous to a no-action letter.</w:t>
      </w:r>
    </w:p>
    <w:p>
      <w:pPr>
        <w:pStyle w:val="BodyMain"/>
        <w:keepNext w:val="true"/>
        <w:keepLines/>
        <w:spacing w:lineRule="auto" w:line="480"/>
        <w:ind w:hanging="0" w:end="0"/>
        <w:rPr>
          <w:u w:val="single"/>
        </w:rPr>
      </w:pPr>
      <w:r>
        <w:rPr>
          <w:u w:val="single"/>
        </w:rPr>
        <w:t>Status of Securities-Based Swap Transactions</w:t>
      </w:r>
    </w:p>
    <w:p>
      <w:pPr>
        <w:pStyle w:val="BodyMain"/>
        <w:spacing w:lineRule="auto" w:line="480"/>
        <w:rPr/>
      </w:pPr>
      <w:r>
        <w:rPr/>
        <w:t>Consistent with the statutory language precluding exemptions from Section 2(a)(1)(B) of the CEA, the Part 35 rules do not provide an exemption from the prohibitions of that provision relating to securities-based futures contracts.  The result is that counterparties engaging in equity swap transactions may not rely comfortably upon the Part 35 rules even if the exemptive criteria are satisfied in all respects.  In connection with adopting the Part 35 rules, the CFTC therefore indicated that swap market participants may continue to rely upon the Policy Statement for existing and new swap transactions that may not be covered by the Part 35 rules, including in particular securities-related swaps such as equity swaps.  In recognition of its continuing vitality and to assist the public in locating it, the CFTC recently proposed to codify the Policy Statement as an appendix to the Part 35 rules in connection with its regulatory reform proposals.  65 Fed. Reg. 39033, 39034 (January 22, 2000).</w:t>
      </w:r>
    </w:p>
    <w:p>
      <w:pPr>
        <w:pStyle w:val="BodyMain"/>
        <w:keepNext w:val="true"/>
        <w:keepLines/>
        <w:spacing w:lineRule="auto" w:line="480"/>
        <w:ind w:hanging="0" w:end="0"/>
        <w:rPr>
          <w:u w:val="single"/>
        </w:rPr>
      </w:pPr>
      <w:r>
        <w:rPr>
          <w:u w:val="single"/>
        </w:rPr>
        <w:t>ANALYSIS</w:t>
      </w:r>
    </w:p>
    <w:p>
      <w:pPr>
        <w:pStyle w:val="BodyMain"/>
        <w:spacing w:lineRule="auto" w:line="480"/>
        <w:rPr/>
      </w:pPr>
      <w:r>
        <w:rPr/>
        <w:t>The Policy Statement reflects the CFTC’s recognition that swaps generally have characteristics such as individually tailored terms, commercial or institutional participants, and an expectation of being held to maturity rather than offset during the term of the agreement that warrant distinguishing them from futures contracts.  Because you have indicated to us that these transactions are to be individually negotiated, credit-sensitive transactions entered into between institutional parties in conjunction with their lines of business which may not be assigned or terminated without counterparty consent, absent an event of default, we believe that these transactions should be deemed to qualify for safe harbor treatment under the Policy Statement.</w:t>
      </w:r>
    </w:p>
    <w:p>
      <w:pPr>
        <w:pStyle w:val="BodyMain"/>
        <w:spacing w:lineRule="auto" w:line="480"/>
        <w:rPr/>
      </w:pPr>
      <w:r>
        <w:rPr/>
        <w:t>We recognize that the Policy Statement refers to swaps as transactions which “generally” are expected to be maintained to maturity.  Viewed in isolation, this language could be read to preclude an agreement in advance to terminate the parties’ obligations.  However, we believe that the underlying requirement is that the counterparty consent to an early termination of the transaction, absent an event of default, rather than an inflexible requirement that a swap be held to maturity.  In this regard, the Policy Statement explicitly states that “[i]f consent to termination is given at the outset of the agreement and a termination formula ... fixed, the consent provision must be privately negotiated.”  It appears to us that this sentence describes precisely the circumstances presented here.  Thus, to preclude the development of an exchange-style market for swaps in which such transactions could be offset without counterparty consent, we believe that the fundamental concern is that swaps not be freely assignable or tradable and that termination occur only with counterparty consent.  Pursuant to the Policy Statement, we believe that such consent may be obtained at inception of the transaction in the form of a unilateral or bilateral optional right of termination.</w:t>
      </w:r>
    </w:p>
    <w:p>
      <w:pPr>
        <w:pStyle w:val="BodyMain"/>
        <w:spacing w:lineRule="auto" w:line="480"/>
        <w:rPr/>
      </w:pPr>
      <w:r>
        <w:rPr/>
        <w:t>We also draw comfort from the fact that unilateral or bilateral optional termination provisions are not uncommon in total return swap transactions.  While market practice is of course not dispositive of legal or regulatory issues, it does reflect the belief that such provisions are not inconsistent with the views expressed by the CFTC in the Policy Statement.  On this basis, we conclude that the bilateral optional termination rights, as described herein, do not run afoul of the safe harbor criteria in the Policy Statement.</w:t>
      </w:r>
    </w:p>
    <w:p>
      <w:pPr>
        <w:pStyle w:val="BodyMain"/>
        <w:spacing w:lineRule="auto" w:line="480"/>
        <w:rPr/>
      </w:pPr>
      <w:r>
        <w:rPr/>
        <w:tab/>
        <w:tab/>
        <w:tab/>
        <w:tab/>
        <w:t>*  *  *  *  *  *  *</w:t>
      </w:r>
    </w:p>
    <w:p>
      <w:pPr>
        <w:pStyle w:val="BodyMain"/>
        <w:spacing w:lineRule="auto" w:line="480"/>
        <w:rPr/>
      </w:pPr>
      <w:r>
        <w:rPr/>
        <w:t>If you have any questions or desire any additional details concerning this memorandum, please do not hesitate to contact David S. Mitchell at (212) 504-6285 or Jeanne Naughton-Carr at (212) 504-6427.</w:t>
      </w:r>
    </w:p>
    <w:p>
      <w:pPr>
        <w:pStyle w:val="Normal"/>
        <w:spacing w:before="480" w:after="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502468.1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PCPARADSINDNT">
    <w:name w:val="PC PARA D/SINDNT"/>
    <w:basedOn w:val="Normal"/>
    <w:qFormat/>
    <w:pPr>
      <w:spacing w:lineRule="auto" w:line="480" w:before="240" w:after="0"/>
      <w:ind w:firstLine="1440" w:start="0" w:end="0"/>
      <w:jc w:val="both"/>
    </w:pPr>
    <w:rPr>
      <w:rFonts w:ascii="CG Times" w:hAnsi="CG Times" w:cs="CG Times"/>
      <w:lang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2000-09-08T14:19:00Z</dcterms:created>
  <dc:creator>smester</dc:creator>
  <dc:description>CWTMemo for March rollout</dc:description>
  <dc:language>en-CA</dc:language>
  <cp:lastModifiedBy>smester</cp:lastModifiedBy>
  <cp:lastPrinted>2000-09-08T12:45:00Z</cp:lastPrinted>
  <dcterms:modified xsi:type="dcterms:W3CDTF">2000-09-08T14:19:00Z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DirectDial">
    <vt:lpwstr>(212) 504-6285</vt:lpwstr>
  </property>
  <property fmtid="{D5CDD505-2E9C-101B-9397-08002B2CF9AE}" pid="4" name="DirectFax">
    <vt:lpwstr>(212) 504-5641</vt:lpwstr>
  </property>
  <property fmtid="{D5CDD505-2E9C-101B-9397-08002B2CF9AE}" pid="5" name="EMail">
    <vt:lpwstr>dmitchel@cwt.com</vt:lpwstr>
  </property>
  <property fmtid="{D5CDD505-2E9C-101B-9397-08002B2CF9AE}" pid="6" name="PCDOCS ID Info">
    <vt:lpwstr>CWT\{PCDOCS Library}\{filename}</vt:lpwstr>
  </property>
  <property fmtid="{D5CDD505-2E9C-101B-9397-08002B2CF9AE}" pid="7" name="PCDOCS ID Long">
    <vt:lpwstr>CWT\NYLIB1\502468.1</vt:lpwstr>
  </property>
  <property fmtid="{D5CDD505-2E9C-101B-9397-08002B2CF9AE}" pid="8" name="PCDOCS ID Short">
    <vt:lpwstr>502468.1</vt:lpwstr>
  </property>
  <property fmtid="{D5CDD505-2E9C-101B-9397-08002B2CF9AE}" pid="9" name="Sender">
    <vt:lpwstr>David S. Mitchell</vt:lpwstr>
  </property>
  <property fmtid="{D5CDD505-2E9C-101B-9397-08002B2CF9AE}" pid="10" name="VersionDate">
    <vt:lpwstr>4/1/99</vt:lpwstr>
  </property>
</Properties>
</file>