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left" w:pos="423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"/>
        <w:tabs>
          <w:tab w:val="left" w:pos="423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tabs>
          <w:tab w:val="left" w:pos="4230" w:leader="none"/>
        </w:tabs>
        <w:rPr/>
      </w:pPr>
      <w:r>
        <w:rPr/>
        <w:tab/>
      </w:r>
    </w:p>
    <w:tbl>
      <w:tblPr>
        <w:tblW w:w="10590" w:type="dxa"/>
        <w:jc w:val="start"/>
        <w:tblInd w:w="-456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392"/>
        <w:gridCol w:w="5574"/>
        <w:gridCol w:w="1620"/>
        <w:gridCol w:w="2004"/>
      </w:tblGrid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-576" w:leader="none"/>
                <w:tab w:val="left" w:pos="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To:</w:t>
            </w:r>
          </w:p>
        </w:tc>
        <w:tc>
          <w:tcPr>
            <w:tcW w:w="5574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320"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Mark Haedicke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</w:r>
          </w:p>
        </w:tc>
      </w:tr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From:</w:t>
            </w:r>
          </w:p>
        </w:tc>
        <w:tc>
          <w:tcPr>
            <w:tcW w:w="5574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340"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Richard B. Sanders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EWS Legal</w:t>
            </w:r>
          </w:p>
        </w:tc>
      </w:tr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Subject:</w:t>
            </w:r>
          </w:p>
        </w:tc>
        <w:tc>
          <w:tcPr>
            <w:tcW w:w="5574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exact" w:line="340"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California Exposure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  <w:t>Date:</w:t>
            </w:r>
          </w:p>
        </w:tc>
        <w:tc>
          <w:tcPr>
            <w:tcW w:w="200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cs="Times New Roman" w:ascii="Times New Roman" w:hAnsi="Times New Roman"/>
                <w:spacing w:val="-3"/>
              </w:rPr>
              <w:t>April 23, 2001</w:t>
            </w:r>
          </w:p>
        </w:tc>
      </w:tr>
      <w:tr>
        <w:trPr/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</w:r>
          </w:p>
        </w:tc>
        <w:tc>
          <w:tcPr>
            <w:tcW w:w="5574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</w:rPr>
            </w:pPr>
            <w:r>
              <w:rPr>
                <w:rFonts w:cs="Times New Roman" w:ascii="Times New Roman" w:hAnsi="Times New Roman"/>
                <w:b/>
                <w:spacing w:val="-3"/>
              </w:rPr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cs="Times New Roman" w:ascii="Times New Roman" w:hAnsi="Times New Roman"/>
                <w:b/>
                <w:spacing w:val="-2"/>
              </w:rPr>
            </w:r>
          </w:p>
        </w:tc>
        <w:tc>
          <w:tcPr>
            <w:tcW w:w="2004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</w:rPr>
            </w:pPr>
            <w:r>
              <w:rPr>
                <w:rFonts w:cs="Times New Roman" w:ascii="Times New Roman" w:hAnsi="Times New Roman"/>
                <w:b/>
                <w:spacing w:val="-3"/>
              </w:rPr>
            </w:r>
          </w:p>
        </w:tc>
      </w:tr>
    </w:tbl>
    <w:p>
      <w:pPr>
        <w:pStyle w:val="Body"/>
        <w:tabs>
          <w:tab w:val="left" w:pos="720" w:leader="none"/>
        </w:tabs>
        <w:ind w:start="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tabs>
          <w:tab w:val="left" w:pos="720" w:leader="none"/>
        </w:tabs>
        <w:ind w:start="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1.</w:t>
        <w:tab/>
        <w:t>Enron’s Claims</w:t>
      </w:r>
    </w:p>
    <w:p>
      <w:pPr>
        <w:pStyle w:val="Body"/>
        <w:tabs>
          <w:tab w:val="left" w:pos="720" w:leader="none"/>
        </w:tabs>
        <w:ind w:start="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Negative CTC *</w:t>
      </w:r>
    </w:p>
    <w:p>
      <w:pPr>
        <w:pStyle w:val="Body"/>
        <w:tabs>
          <w:tab w:val="left" w:pos="720" w:leader="none"/>
        </w:tabs>
        <w:ind w:start="144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tabs>
          <w:tab w:val="left" w:pos="720" w:leader="none"/>
        </w:tabs>
        <w:ind w:start="144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(i)</w:t>
        <w:tab/>
        <w:t>PG&amp;E</w:t>
        <w:tab/>
        <w:tab/>
        <w:tab/>
        <w:tab/>
        <w:tab/>
        <w:t>380</w:t>
      </w:r>
    </w:p>
    <w:p>
      <w:pPr>
        <w:pStyle w:val="Body"/>
        <w:tabs>
          <w:tab w:val="left" w:pos="720" w:leader="none"/>
        </w:tabs>
        <w:ind w:start="144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(ii)</w:t>
        <w:tab/>
        <w:t>SCE</w:t>
        <w:tab/>
        <w:tab/>
        <w:tab/>
        <w:tab/>
        <w:tab/>
        <w:t>120</w:t>
      </w:r>
    </w:p>
    <w:p>
      <w:pPr>
        <w:pStyle w:val="Body"/>
        <w:tabs>
          <w:tab w:val="left" w:pos="720" w:leader="none"/>
        </w:tabs>
        <w:ind w:start="1440" w:end="0"/>
        <w:rPr/>
      </w:pPr>
      <w:r>
        <w:rPr>
          <w:rFonts w:cs="Times New Roman" w:ascii="Times New Roman" w:hAnsi="Times New Roman"/>
          <w:color w:val="000000"/>
          <w:spacing w:val="-3"/>
          <w:sz w:val="24"/>
        </w:rPr>
        <w:t>(iii)</w:t>
        <w:tab/>
        <w:t>Un. of California</w:t>
        <w:tab/>
        <w:tab/>
        <w:tab/>
      </w:r>
      <w:r>
        <w:rPr>
          <w:rFonts w:cs="Times New Roman" w:ascii="Times New Roman" w:hAnsi="Times New Roman"/>
          <w:color w:val="000000"/>
          <w:spacing w:val="-3"/>
          <w:sz w:val="24"/>
          <w:u w:val="single"/>
        </w:rPr>
        <w:t>144</w:t>
      </w:r>
    </w:p>
    <w:p>
      <w:pPr>
        <w:pStyle w:val="Body"/>
        <w:tabs>
          <w:tab w:val="left" w:pos="720" w:leader="none"/>
        </w:tabs>
        <w:ind w:start="144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  <w:tab/>
        <w:tab/>
        <w:tab/>
        <w:tab/>
        <w:tab/>
        <w:t>644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numPr>
          <w:ilvl w:val="0"/>
          <w:numId w:val="2"/>
        </w:numPr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PG&amp;E</w:t>
      </w:r>
    </w:p>
    <w:p>
      <w:pPr>
        <w:pStyle w:val="Body"/>
        <w:tabs>
          <w:tab w:val="left" w:pos="720" w:leader="none"/>
        </w:tabs>
        <w:ind w:start="72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tabs>
          <w:tab w:val="left" w:pos="720" w:leader="none"/>
        </w:tabs>
        <w:ind w:start="144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(i)</w:t>
        <w:tab/>
        <w:t xml:space="preserve">Financial Gas Receivable </w:t>
        <w:tab/>
        <w:t xml:space="preserve"> </w:t>
        <w:tab/>
        <w:t xml:space="preserve"> 72</w:t>
      </w:r>
    </w:p>
    <w:p>
      <w:pPr>
        <w:pStyle w:val="Body"/>
        <w:tabs>
          <w:tab w:val="left" w:pos="720" w:leader="none"/>
        </w:tabs>
        <w:ind w:start="144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(ii)</w:t>
        <w:tab/>
        <w:t xml:space="preserve">PGE Px/ISO Receivable </w:t>
        <w:tab/>
        <w:t xml:space="preserve"> </w:t>
        <w:tab/>
      </w:r>
      <w:r>
        <w:rPr>
          <w:rFonts w:cs="Times New Roman" w:ascii="Times New Roman" w:hAnsi="Times New Roman"/>
          <w:color w:val="000000"/>
          <w:spacing w:val="-3"/>
          <w:sz w:val="24"/>
          <w:u w:val="single"/>
        </w:rPr>
        <w:t xml:space="preserve"> 42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  <w:tab/>
        <w:tab/>
        <w:tab/>
        <w:tab/>
        <w:tab/>
        <w:tab/>
        <w:tab/>
        <w:t>114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  <w:t>C.</w:t>
        <w:tab/>
        <w:t>SCE</w:t>
        <w:tab/>
        <w:tab/>
        <w:tab/>
        <w:tab/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  <w:tab/>
        <w:t>(i)</w:t>
        <w:tab/>
        <w:t>PGE Px/ISO Receivable</w:t>
        <w:tab/>
        <w:tab/>
        <w:t xml:space="preserve"> 28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  <w:tab/>
        <w:t>(ii)</w:t>
        <w:tab/>
        <w:t>PGE Trojan Recovery Fee</w:t>
        <w:tab/>
        <w:t xml:space="preserve"> </w:t>
        <w:tab/>
        <w:t xml:space="preserve"> 53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  <w:tab/>
        <w:t>(iii)</w:t>
        <w:tab/>
        <w:t xml:space="preserve">Enron Wind Receivable </w:t>
        <w:tab/>
        <w:tab/>
        <w:t xml:space="preserve"> 20</w:t>
      </w:r>
    </w:p>
    <w:p>
      <w:pPr>
        <w:pStyle w:val="Body"/>
        <w:tabs>
          <w:tab w:val="left" w:pos="720" w:leader="none"/>
        </w:tabs>
        <w:rPr/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  <w:tab/>
        <w:t>(iv)</w:t>
        <w:tab/>
        <w:t>ENA Px/ISO Receivable</w:t>
        <w:tab/>
        <w:t xml:space="preserve"> </w:t>
        <w:tab/>
        <w:t xml:space="preserve"> </w:t>
      </w:r>
      <w:r>
        <w:rPr>
          <w:rFonts w:cs="Times New Roman" w:ascii="Times New Roman" w:hAnsi="Times New Roman"/>
          <w:color w:val="000000"/>
          <w:spacing w:val="-3"/>
          <w:sz w:val="24"/>
          <w:u w:val="single"/>
        </w:rPr>
        <w:t>20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ab/>
        <w:tab/>
        <w:tab/>
        <w:tab/>
        <w:tab/>
        <w:tab/>
        <w:tab/>
        <w:tab/>
        <w:t>121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numPr>
          <w:ilvl w:val="0"/>
          <w:numId w:val="3"/>
        </w:numPr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Claims against Enron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tabs>
          <w:tab w:val="left" w:pos="720" w:leader="none"/>
        </w:tabs>
        <w:ind w:start="717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A.</w:t>
        <w:tab/>
        <w:t>PGE market to market valuation dispute</w:t>
        <w:tab/>
        <w:t xml:space="preserve">  40</w:t>
      </w:r>
    </w:p>
    <w:p>
      <w:pPr>
        <w:pStyle w:val="Body"/>
        <w:numPr>
          <w:ilvl w:val="1"/>
          <w:numId w:val="3"/>
        </w:numPr>
        <w:tabs>
          <w:tab w:val="left" w:pos="720" w:leader="none"/>
          <w:tab w:val="left" w:pos="1440" w:leader="none"/>
        </w:tabs>
        <w:ind w:hanging="720" w:start="144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Class actions</w:t>
        <w:tab/>
        <w:tab/>
        <w:tab/>
        <w:tab/>
        <w:tab/>
        <w:t>100</w:t>
      </w:r>
    </w:p>
    <w:p>
      <w:pPr>
        <w:pStyle w:val="Body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numPr>
          <w:ilvl w:val="0"/>
          <w:numId w:val="3"/>
        </w:numPr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Reserves</w:t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numPr>
          <w:ilvl w:val="0"/>
          <w:numId w:val="3"/>
        </w:numPr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Disclosures</w:t>
      </w:r>
    </w:p>
    <w:p>
      <w:pPr>
        <w:pStyle w:val="Body"/>
        <w:ind w:start="0" w:end="0"/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</w:r>
    </w:p>
    <w:p>
      <w:pPr>
        <w:pStyle w:val="Body"/>
        <w:tabs>
          <w:tab w:val="left" w:pos="720" w:leader="none"/>
        </w:tabs>
        <w:rPr>
          <w:rFonts w:ascii="Times New Roman" w:hAnsi="Times New Roman" w:cs="Times New Roman"/>
          <w:color w:val="000000"/>
          <w:spacing w:val="-3"/>
          <w:sz w:val="24"/>
        </w:rPr>
      </w:pPr>
      <w:r>
        <w:rPr>
          <w:rFonts w:cs="Times New Roman" w:ascii="Times New Roman" w:hAnsi="Times New Roman"/>
          <w:color w:val="000000"/>
          <w:spacing w:val="-3"/>
          <w:sz w:val="24"/>
        </w:rPr>
        <w:t>*Other Customers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 xml:space="preserve">Your Personal Best Makes Enron  Best  </w:t>
      <w:tab/>
      <w:t xml:space="preserve">                  Communicate- Facts Are Friendly                      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fldChar w:fldCharType="begin"/>
    </w:r>
    <w:r>
      <w:rPr>
        <w:sz w:val="16"/>
        <w:b/>
      </w:rPr>
      <w:instrText xml:space="preserve"> FILENAME \p </w:instrText>
    </w:r>
    <w:r>
      <w:rPr>
        <w:sz w:val="16"/>
        <w:b/>
      </w:rPr>
      <w:fldChar w:fldCharType="separate"/>
    </w:r>
    <w:r>
      <w:rPr>
        <w:sz w:val="16"/>
        <w:b/>
      </w:rPr>
      <w:t>/mnt/main-storage/datasets/enron-docs/doc/Mark_Haedicke_re_California_Exposure_4.20.01.doc</w:t>
    </w:r>
    <w:r>
      <w:rPr>
        <w:sz w:val="16"/>
        <w:b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Memo re John Zufferli</w:t>
    </w:r>
  </w:p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September 27, 2000</w:t>
    </w:r>
  </w:p>
  <w:p>
    <w:pPr>
      <w:pStyle w:val="Header"/>
      <w:rPr/>
    </w:pPr>
    <w:r>
      <w:rPr>
        <w:rFonts w:cs="Times New Roman" w:ascii="Times New Roman" w:hAnsi="Times New Roman"/>
      </w:rPr>
      <w:t xml:space="preserve">Page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2647950</wp:posOffset>
              </wp:positionH>
              <wp:positionV relativeFrom="paragraph">
                <wp:posOffset>-177165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3.95pt;mso-position-vertical-relative:text;margin-left:208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717"/>
        </w:tabs>
        <w:ind w:start="717" w:hanging="645"/>
      </w:pPr>
      <w:rPr/>
    </w:lvl>
    <w:lvl w:ilvl="1">
      <w:start w:val="2"/>
      <w:numFmt w:val="upperLetter"/>
      <w:lvlText w:val="%2."/>
      <w:lvlJc w:val="start"/>
      <w:pPr>
        <w:tabs>
          <w:tab w:val="num" w:pos="1152"/>
        </w:tabs>
        <w:ind w:start="1152" w:hanging="360"/>
      </w:pPr>
      <w:rPr/>
    </w:lvl>
    <w:lvl w:ilvl="2">
      <w:start w:val="1"/>
      <w:numFmt w:val="lowerRoman"/>
      <w:lvlText w:val="%3."/>
      <w:lvlJc w:val="end"/>
      <w:pPr>
        <w:tabs>
          <w:tab w:val="num" w:pos="1872"/>
        </w:tabs>
        <w:ind w:start="1872" w:hanging="180"/>
      </w:pPr>
    </w:lvl>
    <w:lvl w:ilvl="3">
      <w:start w:val="1"/>
      <w:numFmt w:val="decimal"/>
      <w:lvlText w:val="%4."/>
      <w:lvlJc w:val="start"/>
      <w:pPr>
        <w:tabs>
          <w:tab w:val="num" w:pos="2592"/>
        </w:tabs>
        <w:ind w:start="2592" w:hanging="360"/>
      </w:pPr>
    </w:lvl>
    <w:lvl w:ilvl="4">
      <w:start w:val="1"/>
      <w:numFmt w:val="lowerLetter"/>
      <w:lvlText w:val="%5."/>
      <w:lvlJc w:val="start"/>
      <w:pPr>
        <w:tabs>
          <w:tab w:val="num" w:pos="3312"/>
        </w:tabs>
        <w:ind w:start="3312" w:hanging="360"/>
      </w:pPr>
    </w:lvl>
    <w:lvl w:ilvl="5">
      <w:start w:val="1"/>
      <w:numFmt w:val="lowerRoman"/>
      <w:lvlText w:val="%6."/>
      <w:lvlJc w:val="end"/>
      <w:pPr>
        <w:tabs>
          <w:tab w:val="num" w:pos="4032"/>
        </w:tabs>
        <w:ind w:start="4032" w:hanging="180"/>
      </w:pPr>
    </w:lvl>
    <w:lvl w:ilvl="6">
      <w:start w:val="1"/>
      <w:numFmt w:val="decimal"/>
      <w:lvlText w:val="%7."/>
      <w:lvlJc w:val="start"/>
      <w:pPr>
        <w:tabs>
          <w:tab w:val="num" w:pos="4752"/>
        </w:tabs>
        <w:ind w:start="4752" w:hanging="360"/>
      </w:pPr>
    </w:lvl>
    <w:lvl w:ilvl="7">
      <w:start w:val="1"/>
      <w:numFmt w:val="lowerLetter"/>
      <w:lvlText w:val="%8."/>
      <w:lvlJc w:val="start"/>
      <w:pPr>
        <w:tabs>
          <w:tab w:val="num" w:pos="5472"/>
        </w:tabs>
        <w:ind w:start="5472" w:hanging="360"/>
      </w:pPr>
    </w:lvl>
    <w:lvl w:ilvl="8">
      <w:start w:val="1"/>
      <w:numFmt w:val="lowerRoman"/>
      <w:lvlText w:val="%9."/>
      <w:lvlJc w:val="end"/>
      <w:pPr>
        <w:tabs>
          <w:tab w:val="num" w:pos="6192"/>
        </w:tabs>
        <w:ind w:start="6192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;Times New Roman" w:hAnsi="CG Times (W1);Times New Roman" w:cs="CG Times (W1);Times New Roman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b/>
      <w:spacing w:val="-3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BFSMEMO2.DOT</Template>
  <TotalTime>120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2001-04-20T14:48:00Z</dcterms:created>
  <dc:creator>Enron</dc:creator>
  <dc:description/>
  <dc:language>en-CA</dc:language>
  <cp:lastModifiedBy>tsweet</cp:lastModifiedBy>
  <cp:lastPrinted>2001-04-23T08:46:00Z</cp:lastPrinted>
  <dcterms:modified xsi:type="dcterms:W3CDTF">2001-04-23T11:36:00Z</dcterms:modified>
  <cp:revision>8</cp:revision>
  <dc:subject/>
  <dc:title> </dc:title>
</cp:coreProperties>
</file>