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4230" w:leader="none"/>
        </w:tabs>
        <w:rPr>
          <w:rFonts w:ascii="Times New Roman" w:hAnsi="Times New Roman" w:cs="Times New Roman"/>
          <w:sz w:val="23"/>
        </w:rPr>
      </w:pPr>
      <w:r>
        <w:rPr>
          <w:rFonts w:cs="Times New Roman" w:ascii="Times New Roman" w:hAnsi="Times New Roman"/>
          <w:sz w:val="23"/>
        </w:rPr>
      </w:r>
    </w:p>
    <w:p>
      <w:pPr>
        <w:pStyle w:val="Heading"/>
        <w:tabs>
          <w:tab w:val="left" w:pos="4230" w:leader="none"/>
        </w:tabs>
        <w:rPr>
          <w:rFonts w:ascii="Times New Roman" w:hAnsi="Times New Roman" w:cs="Times New Roman"/>
          <w:sz w:val="23"/>
        </w:rPr>
      </w:pPr>
      <w:r>
        <w:rPr>
          <w:rFonts w:cs="Times New Roman" w:ascii="Times New Roman" w:hAnsi="Times New Roman"/>
          <w:sz w:val="23"/>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tabs>
          <w:tab w:val="left" w:pos="4230" w:leader="none"/>
        </w:tabs>
        <w:rPr/>
      </w:pPr>
      <w:r>
        <w:rPr/>
        <w:tab/>
      </w:r>
    </w:p>
    <w:tbl>
      <w:tblPr>
        <w:tblW w:w="10590" w:type="dxa"/>
        <w:jc w:val="start"/>
        <w:tblInd w:w="-456" w:type="dxa"/>
        <w:tblLayout w:type="fixed"/>
        <w:tblCellMar>
          <w:top w:w="0" w:type="dxa"/>
          <w:start w:w="120" w:type="dxa"/>
          <w:bottom w:w="0" w:type="dxa"/>
          <w:end w:w="120" w:type="dxa"/>
        </w:tblCellMar>
      </w:tblPr>
      <w:tblGrid>
        <w:gridCol w:w="1392"/>
        <w:gridCol w:w="5574"/>
        <w:gridCol w:w="1620"/>
        <w:gridCol w:w="2004"/>
      </w:tblGrid>
      <w:tr>
        <w:trPr/>
        <w:tc>
          <w:tcPr>
            <w:tcW w:w="1392" w:type="dxa"/>
            <w:tcBorders/>
          </w:tcPr>
          <w:p>
            <w:pPr>
              <w:pStyle w:val="Normal"/>
              <w:tabs>
                <w:tab w:val="left" w:pos="-720" w:leader="none"/>
                <w:tab w:val="left" w:pos="-576" w:leader="none"/>
                <w:tab w:val="left" w:pos="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To:</w:t>
            </w:r>
          </w:p>
        </w:tc>
        <w:tc>
          <w:tcPr>
            <w:tcW w:w="5574" w:type="dxa"/>
            <w:tcBorders/>
          </w:tcPr>
          <w:p>
            <w:pPr>
              <w:pStyle w:val="Footer"/>
              <w:tabs>
                <w:tab w:val="clear" w:pos="4320"/>
                <w:tab w:val="clear" w:pos="8640"/>
                <w:tab w:val="left" w:pos="-720" w:leader="none"/>
                <w:tab w:val="left" w:pos="540" w:leader="none"/>
                <w:tab w:val="left" w:pos="4230" w:leader="none"/>
              </w:tabs>
              <w:suppressAutoHyphens w:val="true"/>
              <w:spacing w:lineRule="atLeast" w:line="320" w:before="90" w:after="54"/>
              <w:rPr>
                <w:rFonts w:ascii="Times New Roman" w:hAnsi="Times New Roman" w:cs="Times New Roman"/>
                <w:spacing w:val="-3"/>
                <w:sz w:val="23"/>
              </w:rPr>
            </w:pPr>
            <w:r>
              <w:rPr>
                <w:rFonts w:cs="Times New Roman" w:ascii="Times New Roman" w:hAnsi="Times New Roman"/>
                <w:spacing w:val="-3"/>
                <w:sz w:val="23"/>
              </w:rPr>
              <w:t>Mark Haedicke</w:t>
            </w:r>
          </w:p>
        </w:tc>
        <w:tc>
          <w:tcPr>
            <w:tcW w:w="1620" w:type="dxa"/>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3"/>
                <w:sz w:val="23"/>
              </w:rPr>
            </w:pPr>
            <w:r>
              <w:rPr>
                <w:rFonts w:cs="Times New Roman" w:ascii="Times New Roman" w:hAnsi="Times New Roman"/>
                <w:spacing w:val="-3"/>
                <w:sz w:val="23"/>
              </w:rPr>
            </w:r>
          </w:p>
        </w:tc>
        <w:tc>
          <w:tcPr>
            <w:tcW w:w="2004" w:type="dxa"/>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spacing w:val="-3"/>
                <w:sz w:val="23"/>
              </w:rPr>
            </w:pPr>
            <w:r>
              <w:rPr>
                <w:rFonts w:cs="Times New Roman" w:ascii="Times New Roman" w:hAnsi="Times New Roman"/>
                <w:spacing w:val="-3"/>
                <w:sz w:val="23"/>
              </w:rPr>
            </w:r>
          </w:p>
        </w:tc>
      </w:tr>
      <w:tr>
        <w:trPr/>
        <w:tc>
          <w:tcPr>
            <w:tcW w:w="1392"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From:</w:t>
            </w:r>
          </w:p>
        </w:tc>
        <w:tc>
          <w:tcPr>
            <w:tcW w:w="5574" w:type="dxa"/>
            <w:tcBorders/>
          </w:tcPr>
          <w:p>
            <w:pPr>
              <w:pStyle w:val="Footer"/>
              <w:tabs>
                <w:tab w:val="clear" w:pos="4320"/>
                <w:tab w:val="clear" w:pos="8640"/>
                <w:tab w:val="left" w:pos="-720" w:leader="none"/>
                <w:tab w:val="left" w:pos="540" w:leader="none"/>
                <w:tab w:val="left" w:pos="4230" w:leader="none"/>
              </w:tabs>
              <w:suppressAutoHyphens w:val="true"/>
              <w:spacing w:lineRule="atLeast" w:line="340" w:before="90" w:after="54"/>
              <w:rPr>
                <w:rFonts w:ascii="Times New Roman" w:hAnsi="Times New Roman" w:cs="Times New Roman"/>
                <w:spacing w:val="-3"/>
                <w:sz w:val="23"/>
              </w:rPr>
            </w:pPr>
            <w:r>
              <w:rPr>
                <w:rFonts w:cs="Times New Roman" w:ascii="Times New Roman" w:hAnsi="Times New Roman"/>
                <w:spacing w:val="-3"/>
                <w:sz w:val="23"/>
              </w:rPr>
              <w:t>Richard B. Sanders</w:t>
            </w:r>
          </w:p>
        </w:tc>
        <w:tc>
          <w:tcPr>
            <w:tcW w:w="1620" w:type="dxa"/>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spacing w:val="-2"/>
                <w:sz w:val="23"/>
              </w:rPr>
            </w:pPr>
            <w:r>
              <w:rPr>
                <w:rFonts w:cs="Times New Roman" w:ascii="Times New Roman" w:hAnsi="Times New Roman"/>
                <w:spacing w:val="-2"/>
                <w:sz w:val="23"/>
              </w:rPr>
            </w:r>
          </w:p>
        </w:tc>
        <w:tc>
          <w:tcPr>
            <w:tcW w:w="2004"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EWS Legal</w:t>
            </w:r>
          </w:p>
        </w:tc>
      </w:tr>
      <w:tr>
        <w:trPr/>
        <w:tc>
          <w:tcPr>
            <w:tcW w:w="1392"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Subject:</w:t>
            </w:r>
          </w:p>
        </w:tc>
        <w:tc>
          <w:tcPr>
            <w:tcW w:w="5574" w:type="dxa"/>
            <w:tcBorders/>
          </w:tcPr>
          <w:p>
            <w:pPr>
              <w:pStyle w:val="Footer"/>
              <w:tabs>
                <w:tab w:val="clear" w:pos="4320"/>
                <w:tab w:val="clear" w:pos="8640"/>
                <w:tab w:val="left" w:pos="-720" w:leader="none"/>
                <w:tab w:val="left" w:pos="540" w:leader="none"/>
                <w:tab w:val="left" w:pos="4230" w:leader="none"/>
              </w:tabs>
              <w:suppressAutoHyphens w:val="true"/>
              <w:spacing w:lineRule="exact" w:line="340" w:before="90" w:after="54"/>
              <w:rPr>
                <w:rFonts w:ascii="Times New Roman" w:hAnsi="Times New Roman" w:cs="Times New Roman"/>
                <w:spacing w:val="-3"/>
                <w:sz w:val="23"/>
              </w:rPr>
            </w:pPr>
            <w:r>
              <w:rPr>
                <w:rFonts w:cs="Times New Roman" w:ascii="Times New Roman" w:hAnsi="Times New Roman"/>
                <w:spacing w:val="-3"/>
                <w:sz w:val="23"/>
              </w:rPr>
              <w:t>California Litigation</w:t>
            </w:r>
          </w:p>
        </w:tc>
        <w:tc>
          <w:tcPr>
            <w:tcW w:w="1620" w:type="dxa"/>
            <w:tcBorders/>
          </w:tcPr>
          <w:p>
            <w:pPr>
              <w:pStyle w:val="Normal"/>
              <w:tabs>
                <w:tab w:val="left" w:pos="-720" w:leader="none"/>
                <w:tab w:val="left" w:pos="540" w:leader="none"/>
                <w:tab w:val="left" w:pos="4230" w:leader="none"/>
              </w:tabs>
              <w:suppressAutoHyphens w:val="true"/>
              <w:spacing w:before="90" w:after="54"/>
              <w:jc w:val="end"/>
              <w:rPr>
                <w:rFonts w:ascii="Times New Roman" w:hAnsi="Times New Roman" w:cs="Times New Roman"/>
                <w:spacing w:val="-2"/>
                <w:sz w:val="23"/>
              </w:rPr>
            </w:pPr>
            <w:r>
              <w:rPr>
                <w:rFonts w:cs="Times New Roman" w:ascii="Times New Roman" w:hAnsi="Times New Roman"/>
                <w:b/>
                <w:spacing w:val="-2"/>
                <w:sz w:val="23"/>
              </w:rPr>
              <w:t>Date:</w:t>
            </w:r>
          </w:p>
        </w:tc>
        <w:tc>
          <w:tcPr>
            <w:tcW w:w="2004" w:type="dxa"/>
            <w:tcBorders/>
          </w:tcPr>
          <w:p>
            <w:pPr>
              <w:pStyle w:val="Normal"/>
              <w:tabs>
                <w:tab w:val="left" w:pos="-720" w:leader="none"/>
                <w:tab w:val="left" w:pos="540" w:leader="none"/>
                <w:tab w:val="left" w:pos="4230" w:leader="none"/>
              </w:tabs>
              <w:suppressAutoHyphens w:val="true"/>
              <w:spacing w:before="90" w:after="54"/>
              <w:rPr>
                <w:rFonts w:ascii="Times New Roman" w:hAnsi="Times New Roman" w:cs="Times New Roman"/>
                <w:spacing w:val="-3"/>
                <w:sz w:val="23"/>
              </w:rPr>
            </w:pPr>
            <w:r>
              <w:rPr>
                <w:rFonts w:cs="Times New Roman" w:ascii="Times New Roman" w:hAnsi="Times New Roman"/>
                <w:spacing w:val="-3"/>
                <w:sz w:val="23"/>
              </w:rPr>
              <w:t>May 1, 2001</w:t>
            </w:r>
          </w:p>
        </w:tc>
      </w:tr>
      <w:tr>
        <w:trPr/>
        <w:tc>
          <w:tcPr>
            <w:tcW w:w="1392"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3"/>
              </w:rPr>
            </w:pPr>
            <w:r>
              <w:rPr>
                <w:rFonts w:cs="Times New Roman" w:ascii="Times New Roman" w:hAnsi="Times New Roman"/>
                <w:b/>
                <w:spacing w:val="-2"/>
                <w:sz w:val="23"/>
              </w:rPr>
            </w:r>
          </w:p>
        </w:tc>
        <w:tc>
          <w:tcPr>
            <w:tcW w:w="5574"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3"/>
              </w:rPr>
            </w:pPr>
            <w:r>
              <w:rPr>
                <w:rFonts w:cs="Times New Roman" w:ascii="Times New Roman" w:hAnsi="Times New Roman"/>
                <w:b/>
                <w:spacing w:val="-3"/>
                <w:sz w:val="23"/>
              </w:rPr>
            </w:r>
          </w:p>
        </w:tc>
        <w:tc>
          <w:tcPr>
            <w:tcW w:w="1620"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jc w:val="end"/>
              <w:rPr>
                <w:rFonts w:ascii="Times New Roman" w:hAnsi="Times New Roman" w:cs="Times New Roman"/>
                <w:b/>
                <w:spacing w:val="-2"/>
                <w:sz w:val="23"/>
              </w:rPr>
            </w:pPr>
            <w:r>
              <w:rPr>
                <w:rFonts w:cs="Times New Roman" w:ascii="Times New Roman" w:hAnsi="Times New Roman"/>
                <w:b/>
                <w:spacing w:val="-2"/>
                <w:sz w:val="23"/>
              </w:rPr>
            </w:r>
          </w:p>
        </w:tc>
        <w:tc>
          <w:tcPr>
            <w:tcW w:w="2004" w:type="dxa"/>
            <w:tcBorders>
              <w:bottom w:val="single" w:sz="6" w:space="0" w:color="000000"/>
            </w:tcBorders>
          </w:tcPr>
          <w:p>
            <w:pPr>
              <w:pStyle w:val="Normal"/>
              <w:tabs>
                <w:tab w:val="left" w:pos="-720" w:leader="none"/>
                <w:tab w:val="left" w:pos="540" w:leader="none"/>
                <w:tab w:val="left" w:pos="4230" w:leader="none"/>
              </w:tabs>
              <w:suppressAutoHyphens w:val="true"/>
              <w:snapToGrid w:val="false"/>
              <w:spacing w:before="90" w:after="54"/>
              <w:rPr>
                <w:rFonts w:ascii="Times New Roman" w:hAnsi="Times New Roman" w:cs="Times New Roman"/>
                <w:b/>
                <w:spacing w:val="-3"/>
                <w:sz w:val="23"/>
              </w:rPr>
            </w:pPr>
            <w:r>
              <w:rPr>
                <w:rFonts w:cs="Times New Roman" w:ascii="Times New Roman" w:hAnsi="Times New Roman"/>
                <w:b/>
                <w:spacing w:val="-3"/>
                <w:sz w:val="23"/>
              </w:rPr>
            </w:r>
          </w:p>
        </w:tc>
      </w:tr>
    </w:tbl>
    <w:p>
      <w:pPr>
        <w:pStyle w:val="Body"/>
        <w:tabs>
          <w:tab w:val="left" w:pos="720" w:leader="none"/>
        </w:tabs>
        <w:ind w:start="0" w:end="0"/>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tabs>
          <w:tab w:val="left" w:pos="720" w:leader="none"/>
        </w:tabs>
        <w:ind w:start="0" w:end="0"/>
        <w:jc w:val="both"/>
        <w:rPr/>
      </w:pPr>
      <w:r>
        <w:rPr>
          <w:rFonts w:cs="Times New Roman" w:ascii="Times New Roman" w:hAnsi="Times New Roman"/>
          <w:color w:val="000000"/>
          <w:spacing w:val="-3"/>
          <w:sz w:val="23"/>
        </w:rPr>
        <w:t>1.</w:t>
        <w:tab/>
        <w:t>San Diego Class Actions (</w:t>
      </w:r>
      <w:r>
        <w:rPr>
          <w:rFonts w:cs="Times New Roman" w:ascii="Times New Roman" w:hAnsi="Times New Roman"/>
          <w:color w:val="000000"/>
          <w:spacing w:val="-3"/>
          <w:sz w:val="23"/>
          <w:u w:val="single"/>
        </w:rPr>
        <w:t>Hendrick</w:t>
      </w:r>
      <w:r>
        <w:rPr>
          <w:rFonts w:cs="Times New Roman" w:ascii="Times New Roman" w:hAnsi="Times New Roman"/>
          <w:color w:val="000000"/>
          <w:spacing w:val="-3"/>
          <w:sz w:val="23"/>
        </w:rPr>
        <w:t xml:space="preserve"> and </w:t>
      </w:r>
      <w:r>
        <w:rPr>
          <w:rFonts w:cs="Times New Roman" w:ascii="Times New Roman" w:hAnsi="Times New Roman"/>
          <w:color w:val="000000"/>
          <w:spacing w:val="-3"/>
          <w:sz w:val="23"/>
          <w:u w:val="single"/>
        </w:rPr>
        <w:t>Sweetwater</w:t>
      </w:r>
      <w:r>
        <w:rPr>
          <w:rFonts w:cs="Times New Roman" w:ascii="Times New Roman" w:hAnsi="Times New Roman"/>
          <w:color w:val="000000"/>
          <w:spacing w:val="-3"/>
          <w:sz w:val="23"/>
        </w:rPr>
        <w:t xml:space="preserve"> Cases)</w:t>
      </w:r>
    </w:p>
    <w:p>
      <w:pPr>
        <w:pStyle w:val="Body"/>
        <w:tabs>
          <w:tab w:val="left" w:pos="720" w:leader="none"/>
        </w:tabs>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3"/>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 xml:space="preserve">The </w:t>
      </w:r>
      <w:r>
        <w:rPr>
          <w:rFonts w:cs="Times New Roman" w:ascii="Times New Roman" w:hAnsi="Times New Roman"/>
          <w:color w:val="000000"/>
          <w:spacing w:val="-3"/>
          <w:sz w:val="23"/>
          <w:u w:val="single"/>
        </w:rPr>
        <w:t>Hendrick</w:t>
      </w:r>
      <w:r>
        <w:rPr>
          <w:rFonts w:cs="Times New Roman" w:ascii="Times New Roman" w:hAnsi="Times New Roman"/>
          <w:color w:val="000000"/>
          <w:spacing w:val="-3"/>
          <w:sz w:val="23"/>
        </w:rPr>
        <w:t xml:space="preserve"> and </w:t>
      </w:r>
      <w:r>
        <w:rPr>
          <w:rFonts w:cs="Times New Roman" w:ascii="Times New Roman" w:hAnsi="Times New Roman"/>
          <w:color w:val="000000"/>
          <w:spacing w:val="-3"/>
          <w:sz w:val="23"/>
          <w:u w:val="single"/>
        </w:rPr>
        <w:t>Sweetwater</w:t>
      </w:r>
      <w:r>
        <w:rPr>
          <w:rFonts w:cs="Times New Roman" w:ascii="Times New Roman" w:hAnsi="Times New Roman"/>
          <w:color w:val="000000"/>
          <w:spacing w:val="-3"/>
          <w:sz w:val="23"/>
        </w:rPr>
        <w:t xml:space="preserve"> plaintiffs have filed class action lawsuits against Enron Power Marketing Inc (“EPMI”), Enron Energy Services, and other power marketers alleging that their trading practices violated the California anti-trust and unfair competition laws.  In a separate lawsuit, the </w:t>
      </w:r>
      <w:r>
        <w:rPr>
          <w:rFonts w:cs="Times New Roman" w:ascii="Times New Roman" w:hAnsi="Times New Roman"/>
          <w:color w:val="000000"/>
          <w:spacing w:val="-3"/>
          <w:sz w:val="23"/>
          <w:u w:val="single"/>
        </w:rPr>
        <w:t>Gordon</w:t>
      </w:r>
      <w:r>
        <w:rPr>
          <w:rFonts w:cs="Times New Roman" w:ascii="Times New Roman" w:hAnsi="Times New Roman"/>
          <w:color w:val="000000"/>
          <w:spacing w:val="-3"/>
          <w:sz w:val="23"/>
        </w:rPr>
        <w:t xml:space="preserve"> case, plaintiffs have made similar allegations against generators.  The </w:t>
      </w:r>
      <w:r>
        <w:rPr>
          <w:rFonts w:cs="Times New Roman" w:ascii="Times New Roman" w:hAnsi="Times New Roman"/>
          <w:color w:val="000000"/>
          <w:spacing w:val="-3"/>
          <w:sz w:val="23"/>
          <w:u w:val="single"/>
        </w:rPr>
        <w:t>Gordon</w:t>
      </w:r>
      <w:r>
        <w:rPr>
          <w:rFonts w:cs="Times New Roman" w:ascii="Times New Roman" w:hAnsi="Times New Roman"/>
          <w:color w:val="000000"/>
          <w:spacing w:val="-3"/>
          <w:sz w:val="23"/>
        </w:rPr>
        <w:t xml:space="preserve">, </w:t>
      </w:r>
      <w:r>
        <w:rPr>
          <w:rFonts w:cs="Times New Roman" w:ascii="Times New Roman" w:hAnsi="Times New Roman"/>
          <w:color w:val="000000"/>
          <w:spacing w:val="-3"/>
          <w:sz w:val="23"/>
          <w:u w:val="single"/>
        </w:rPr>
        <w:t>Hendricks</w:t>
      </w:r>
      <w:r>
        <w:rPr>
          <w:rFonts w:cs="Times New Roman" w:ascii="Times New Roman" w:hAnsi="Times New Roman"/>
          <w:color w:val="000000"/>
          <w:spacing w:val="-3"/>
          <w:sz w:val="23"/>
        </w:rPr>
        <w:t xml:space="preserve">, and </w:t>
      </w:r>
      <w:r>
        <w:rPr>
          <w:rFonts w:cs="Times New Roman" w:ascii="Times New Roman" w:hAnsi="Times New Roman"/>
          <w:color w:val="000000"/>
          <w:spacing w:val="-3"/>
          <w:sz w:val="23"/>
          <w:u w:val="single"/>
        </w:rPr>
        <w:t>Sweetwater</w:t>
      </w:r>
      <w:r>
        <w:rPr>
          <w:rFonts w:cs="Times New Roman" w:ascii="Times New Roman" w:hAnsi="Times New Roman"/>
          <w:color w:val="000000"/>
          <w:spacing w:val="-3"/>
          <w:sz w:val="23"/>
        </w:rPr>
        <w:t xml:space="preserve"> cases have been consolidated.</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3"/>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The class action defendants removed the cases from State District Court to Federal District Court arguing that the plaintiffs’ claims invoke federal jurisdiction under the Federal Power Act.  Plaintiffs filed a motion to remand to State District Court.  Before the motion to remand could be considered, Judge Moskowitz recused himself because he is a member of the class.</w:t>
      </w:r>
    </w:p>
    <w:p>
      <w:pPr>
        <w:pStyle w:val="Body"/>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3"/>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In light of Judge Moskowitz’s recusal, the Ninth Circuit has appointed Judge Whaley from Spokane, Washington to preside over these cases in San Diego.</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San Francisco Class Actions (</w:t>
      </w:r>
      <w:r>
        <w:rPr>
          <w:rFonts w:cs="Times New Roman" w:ascii="Times New Roman" w:hAnsi="Times New Roman"/>
          <w:color w:val="000000"/>
          <w:spacing w:val="-3"/>
          <w:sz w:val="23"/>
          <w:u w:val="single"/>
        </w:rPr>
        <w:t xml:space="preserve">City of San Francisco </w:t>
      </w:r>
      <w:r>
        <w:rPr>
          <w:rFonts w:cs="Times New Roman" w:ascii="Times New Roman" w:hAnsi="Times New Roman"/>
          <w:color w:val="000000"/>
          <w:spacing w:val="-3"/>
          <w:sz w:val="23"/>
        </w:rPr>
        <w:t>and</w:t>
      </w:r>
      <w:r>
        <w:rPr>
          <w:rFonts w:cs="Times New Roman" w:ascii="Times New Roman" w:hAnsi="Times New Roman"/>
          <w:color w:val="000000"/>
          <w:spacing w:val="-3"/>
          <w:sz w:val="23"/>
          <w:u w:val="single"/>
        </w:rPr>
        <w:t xml:space="preserve"> Pier 23</w:t>
      </w:r>
      <w:r>
        <w:rPr>
          <w:rFonts w:cs="Times New Roman" w:ascii="Times New Roman" w:hAnsi="Times New Roman"/>
          <w:color w:val="000000"/>
          <w:spacing w:val="-3"/>
          <w:sz w:val="23"/>
        </w:rPr>
        <w:t xml:space="preserve"> cases)</w:t>
      </w:r>
    </w:p>
    <w:p>
      <w:pPr>
        <w:pStyle w:val="Body"/>
        <w:tabs>
          <w:tab w:val="left" w:pos="720" w:leader="none"/>
        </w:tabs>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720" w:leader="none"/>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 xml:space="preserve">The </w:t>
      </w:r>
      <w:r>
        <w:rPr>
          <w:rFonts w:cs="Times New Roman" w:ascii="Times New Roman" w:hAnsi="Times New Roman"/>
          <w:color w:val="000000"/>
          <w:spacing w:val="-3"/>
          <w:sz w:val="23"/>
          <w:u w:val="single"/>
        </w:rPr>
        <w:t>City of San Francisco</w:t>
      </w:r>
      <w:r>
        <w:rPr>
          <w:rFonts w:cs="Times New Roman" w:ascii="Times New Roman" w:hAnsi="Times New Roman"/>
          <w:color w:val="000000"/>
          <w:spacing w:val="-3"/>
          <w:sz w:val="23"/>
        </w:rPr>
        <w:t xml:space="preserve"> and </w:t>
      </w:r>
      <w:r>
        <w:rPr>
          <w:rFonts w:cs="Times New Roman" w:ascii="Times New Roman" w:hAnsi="Times New Roman"/>
          <w:color w:val="000000"/>
          <w:spacing w:val="-3"/>
          <w:sz w:val="23"/>
          <w:u w:val="single"/>
        </w:rPr>
        <w:t>Pier 23</w:t>
      </w:r>
      <w:r>
        <w:rPr>
          <w:rFonts w:cs="Times New Roman" w:ascii="Times New Roman" w:hAnsi="Times New Roman"/>
          <w:color w:val="000000"/>
          <w:spacing w:val="-3"/>
          <w:sz w:val="23"/>
        </w:rPr>
        <w:t xml:space="preserve"> cases also allege violations of the California antitrust and unfair competition laws.  Defendants also removed these cases based on federal question jurisdiction under the Federal Power Act.  Plaintiffs have filed motions to remand.  Like Judge Moskowitz, Judge Wilkens recused herself and has asked that another federal judge be appointed to sit in San Francisco.</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 xml:space="preserve">Multi-District Litigation (“MDL”) Motion </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720" w:leader="none"/>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The defendants have invoked the jurisdiction of the Multi-District Litigation panel in the four class actions.  Defendants have filed a request that the class actions be moved to Washington, D.C. or to the Southern District of Texas.  A hearing on the MDL request is scheduled for May 31, 2001 in Washington, D.C.</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California Power Exchange (Px) Chargeback Cases (FERC and Los Angeles District Court)</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Although it no longer operates, the Px continues to hold approximately $130 million of letters of credit and cash collateral posted by EPMI to support EPMI’s trading activities.</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As a result of Southern California Edison (“SCE”) and Pacific Gas &amp; Energy (“PG&amp;E”) defaults in the Px, the Px implemented its “chargeback” procedures to recover the defaulted amounts.  Under the Px’s interpretation of the chargeback procedures, EPMI and all market participants would be assessed their proportional share of the SCE and PG&amp;E’s defaults.  We estimate EPMI’s share of the chargeback to be $160 million.</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EPMI filed an injunction in Los Angeles Federal District Court requesting that the Court enjoin both the implementation of the chargeback procedures and the drawing down of collateral for chargeback liability.  The Court granted EPMI’s request and the chargeback procedures were enjoined until FERC issued a ruling on the applicability of the chargeback procedures.</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In April, FERC issued a ruling that the implementation of the chargeback procedures would be unjust and unreasonable given the crisis in California.  In light of this ruling, EPMI requested that the Px return its collateral.  The Px has refused.  EPMI has prepared a motion to be filed at FERC requesting that FERC direct the Px to return all the outstanding collateral.</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Commandeering/Condemnation Case</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In January, Governor Davis used his powers of eminent domain to commandeer the low priced long term power contracts held by the Px.  These power contracts are valued at over $1 billion.  Any amounts received from the State of California for the commandeered contracts will be paid to the Px market participants.</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The Px participants committee of the Px bankruptcy has agreed to take this asset of the Px bankruptcy estate and prosecute the claims against the State of California.  The Px participants are interviewing counsel.</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Negative CTC Case (California Public Utility Commission)</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EES has filed a claim in California Public Utilities Commission requesting that the CPUC require SCE and PG&amp;E to pay EES approximately $500 million in accrued Customer Transition Costs (“CTC’s).  SCE filed a counterclaim against EES alleging that EES’ marketing affiliate, EPMI, is responsible for the increase in the power prices in California.</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This case has been stayed until June 15, 2001.</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0"/>
          <w:numId w:val="2"/>
        </w:numPr>
        <w:jc w:val="both"/>
        <w:rPr>
          <w:rFonts w:ascii="Times New Roman" w:hAnsi="Times New Roman" w:cs="Times New Roman"/>
          <w:color w:val="000000"/>
          <w:spacing w:val="-3"/>
          <w:sz w:val="23"/>
        </w:rPr>
      </w:pPr>
      <w:r>
        <w:rPr>
          <w:rFonts w:cs="Times New Roman" w:ascii="Times New Roman" w:hAnsi="Times New Roman"/>
          <w:color w:val="000000"/>
          <w:spacing w:val="-3"/>
          <w:sz w:val="23"/>
        </w:rPr>
        <w:t>University of California Case</w:t>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The University of California System (“UCS”) filed suit in ______________ Federal District Court against EES as a result of EES returning UCS to SCE and PG&amp;E for utility service.  UCS requested an injunction to enjoin EES’ action.</w:t>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numPr>
          <w:ilvl w:val="1"/>
          <w:numId w:val="2"/>
        </w:numPr>
        <w:tabs>
          <w:tab w:val="left" w:pos="1440" w:leader="none"/>
        </w:tabs>
        <w:ind w:hanging="720" w:start="144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t>In April, the Court granted UCS’ request for an injunction and EES was required to again become UCS’ utility service provider.  The result is that EES will accumulate an additional $144 mm of negative CTC receivables.</w:t>
      </w:r>
    </w:p>
    <w:p>
      <w:pPr>
        <w:pStyle w:val="Body"/>
        <w:ind w:start="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ind w:start="720" w:end="0"/>
        <w:jc w:val="both"/>
        <w:rPr>
          <w:rFonts w:ascii="Times New Roman" w:hAnsi="Times New Roman" w:cs="Times New Roman"/>
          <w:color w:val="000000"/>
          <w:spacing w:val="-3"/>
          <w:sz w:val="23"/>
        </w:rPr>
      </w:pPr>
      <w:r>
        <w:rPr>
          <w:rFonts w:cs="Times New Roman" w:ascii="Times New Roman" w:hAnsi="Times New Roman"/>
          <w:color w:val="000000"/>
          <w:spacing w:val="-3"/>
          <w:sz w:val="23"/>
        </w:rPr>
      </w:r>
    </w:p>
    <w:p>
      <w:pPr>
        <w:pStyle w:val="Body"/>
        <w:jc w:val="both"/>
        <w:rPr>
          <w:rFonts w:ascii="Times New Roman" w:hAnsi="Times New Roman" w:cs="Times New Roman"/>
          <w:color w:val="000000"/>
          <w:spacing w:val="-3"/>
          <w:sz w:val="23"/>
        </w:rPr>
      </w:pPr>
      <w:r>
        <w:rPr>
          <w:rFonts w:cs="Times New Roman" w:ascii="Times New Roman" w:hAnsi="Times New Roman"/>
          <w:color w:val="000000"/>
          <w:spacing w:val="-3"/>
          <w:sz w:val="23"/>
        </w:rPr>
        <w:t>/rbs</w:t>
      </w:r>
    </w:p>
    <w:sectPr>
      <w:headerReference w:type="default" r:id="rId3"/>
      <w:headerReference w:type="first" r:id="rId4"/>
      <w:footerReference w:type="default" r:id="rId5"/>
      <w:footerReference w:type="first" r:id="rId6"/>
      <w:type w:val="nextPage"/>
      <w:pgSz w:w="12240" w:h="15840"/>
      <w:pgMar w:left="1152" w:right="1152" w:gutter="0" w:header="576" w:top="720" w:footer="432" w:bottom="4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ind w:hanging="720" w:start="720" w:end="0"/>
      <w:rPr>
        <w:sz w:val="16"/>
      </w:rPr>
    </w:pPr>
    <w:r>
      <w:rPr>
        <w:sz w:val="16"/>
      </w:rPr>
      <w:fldChar w:fldCharType="begin"/>
    </w:r>
    <w:r>
      <w:rPr>
        <w:sz w:val="16"/>
      </w:rPr>
      <w:instrText xml:space="preserve"> FILENAME \p </w:instrText>
    </w:r>
    <w:r>
      <w:rPr>
        <w:sz w:val="16"/>
      </w:rPr>
      <w:fldChar w:fldCharType="separate"/>
    </w:r>
    <w:r>
      <w:rPr>
        <w:sz w:val="16"/>
      </w:rPr>
      <w:t>/mnt/main-storage/datasets/enron-docs/doc/Mark_Haedicke_re_CA_Ligitation_5.1.01-9632b359c59311dc3629fa91d68cb6c1dbae16991ffe09298a41fd4fd6ec86e9.doc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 xml:space="preserve">Your Personal Best Makes Enron  Best  </w:t>
      <w:tab/>
      <w:t xml:space="preserve">                  Communicate- Facts Are Friendly                      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fldChar w:fldCharType="begin"/>
    </w:r>
    <w:r>
      <w:rPr>
        <w:sz w:val="16"/>
        <w:b/>
      </w:rPr>
      <w:instrText xml:space="preserve"> FILENAME \p </w:instrText>
    </w:r>
    <w:r>
      <w:rPr>
        <w:sz w:val="16"/>
        <w:b/>
      </w:rPr>
      <w:fldChar w:fldCharType="separate"/>
    </w:r>
    <w:r>
      <w:rPr>
        <w:sz w:val="16"/>
        <w:b/>
      </w:rPr>
      <w:t>/mnt/main-storage/datasets/enron-docs/doc/Mark_Haedicke_re_CA_Ligitation_5.1.01-9632b359c59311dc3629fa91d68cb6c1dbae16991ffe09298a41fd4fd6ec86e9.doc</w:t>
    </w:r>
    <w:r>
      <w:rPr>
        <w:sz w:val="16"/>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Memo to Mark Haedicke</w:t>
    </w:r>
  </w:p>
  <w:p>
    <w:pPr>
      <w:pStyle w:val="Header"/>
      <w:rPr>
        <w:rFonts w:ascii="Times New Roman" w:hAnsi="Times New Roman" w:cs="Times New Roman"/>
        <w:sz w:val="20"/>
      </w:rPr>
    </w:pPr>
    <w:r>
      <w:rPr>
        <w:rFonts w:cs="Times New Roman" w:ascii="Times New Roman" w:hAnsi="Times New Roman"/>
        <w:sz w:val="20"/>
      </w:rPr>
      <w:t>May 1, 2001</w:t>
    </w:r>
  </w:p>
  <w:p>
    <w:pPr>
      <w:pStyle w:val="Header"/>
      <w:rPr>
        <w:rFonts w:ascii="Times New Roman" w:hAnsi="Times New Roman" w:cs="Times New Roman"/>
        <w:sz w:val="20"/>
      </w:rPr>
    </w:pP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p>
    <w:pPr>
      <w:pStyle w:val="Header"/>
      <w:rPr>
        <w:rFonts w:ascii="Times New Roman" w:hAnsi="Times New Roman" w:cs="Times New Roman"/>
        <w:sz w:val="20"/>
      </w:rPr>
    </w:pPr>
    <w:r>
      <w:rPr>
        <w:rFonts w:cs="Times New Roman" w:ascii="Times New Roman" w:hAnsi="Times New Roman"/>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17"/>
        </w:tabs>
        <w:ind w:start="717" w:hanging="645"/>
      </w:pPr>
      <w:rPr/>
    </w:lvl>
    <w:lvl w:ilvl="1">
      <w:start w:val="1"/>
      <w:numFmt w:val="bullet"/>
      <w:lvlText w:val=""/>
      <w:lvlJc w:val="start"/>
      <w:pPr>
        <w:tabs>
          <w:tab w:val="num" w:pos="1152"/>
        </w:tabs>
        <w:ind w:start="1152" w:hanging="360"/>
      </w:pPr>
      <w:rPr>
        <w:rFonts w:ascii="Symbol" w:hAnsi="Symbol" w:cs="Symbol" w:hint="default"/>
      </w:r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1z0">
    <w:name w:val="WW8Num1z0"/>
    <w:qFormat/>
    <w:rPr/>
  </w:style>
  <w:style w:type="character" w:styleId="WW8Num1z1">
    <w:name w:val="WW8Num1z1"/>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jc w:val="both"/>
    </w:pPr>
    <w:rPr>
      <w:rFonts w:ascii="Times New Roman" w:hAnsi="Times New Roman" w:cs="Times New Roman"/>
      <w:b/>
      <w:spacing w:val="-3"/>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2001-05-01T11:03:00Z</dcterms:created>
  <dc:creator>Enron</dc:creator>
  <dc:description/>
  <dc:language>en-CA</dc:language>
  <cp:lastModifiedBy>tsweet</cp:lastModifiedBy>
  <cp:lastPrinted>2001-05-01T10:42:00Z</cp:lastPrinted>
  <dcterms:modified xsi:type="dcterms:W3CDTF">2001-05-01T13:12:00Z</dcterms:modified>
  <cp:revision>15</cp:revision>
  <dc:subject/>
  <dc:title> </dc:title>
</cp:coreProperties>
</file>